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B7" w:rsidRPr="00BA211B" w:rsidRDefault="00303CB7" w:rsidP="00CF00BF">
      <w:pPr>
        <w:rPr>
          <w:rFonts w:asciiTheme="majorHAnsi" w:hAnsiTheme="majorHAnsi"/>
          <w:sz w:val="24"/>
          <w:szCs w:val="24"/>
        </w:rPr>
      </w:pPr>
      <w:r w:rsidRPr="00303CB7">
        <w:rPr>
          <w:rFonts w:asciiTheme="majorHAnsi" w:hAnsiTheme="majorHAnsi"/>
          <w:sz w:val="24"/>
          <w:szCs w:val="24"/>
        </w:rPr>
        <w:t>CARL FREDRIK BERGSTRÖM</w:t>
      </w:r>
      <w:r w:rsidR="002778EC">
        <w:rPr>
          <w:rFonts w:asciiTheme="majorHAnsi" w:hAnsiTheme="majorHAnsi"/>
          <w:sz w:val="24"/>
          <w:szCs w:val="24"/>
        </w:rPr>
        <w:tab/>
      </w:r>
    </w:p>
    <w:p w:rsidR="00400D72" w:rsidRDefault="00400D72" w:rsidP="00CF00BF">
      <w:pPr>
        <w:rPr>
          <w:rFonts w:asciiTheme="majorHAnsi" w:hAnsiTheme="majorHAnsi"/>
          <w:b/>
          <w:color w:val="0070C0"/>
          <w:sz w:val="32"/>
          <w:szCs w:val="32"/>
        </w:rPr>
      </w:pPr>
    </w:p>
    <w:p w:rsidR="005B78AF" w:rsidRPr="00B669A6" w:rsidRDefault="005B78AF" w:rsidP="00CF00BF">
      <w:pPr>
        <w:rPr>
          <w:rFonts w:asciiTheme="majorHAnsi" w:hAnsiTheme="majorHAnsi"/>
          <w:b/>
          <w:color w:val="0070C0"/>
          <w:sz w:val="32"/>
          <w:szCs w:val="32"/>
        </w:rPr>
      </w:pPr>
      <w:r w:rsidRPr="00B669A6">
        <w:rPr>
          <w:rFonts w:asciiTheme="majorHAnsi" w:hAnsiTheme="majorHAnsi"/>
          <w:b/>
          <w:color w:val="0070C0"/>
          <w:sz w:val="32"/>
          <w:szCs w:val="32"/>
        </w:rPr>
        <w:t>FÖRELÄSNING 1</w:t>
      </w:r>
      <w:r w:rsidR="00303CB7" w:rsidRPr="00B669A6">
        <w:rPr>
          <w:rFonts w:asciiTheme="majorHAnsi" w:hAnsiTheme="majorHAnsi"/>
          <w:b/>
          <w:color w:val="0070C0"/>
          <w:sz w:val="32"/>
          <w:szCs w:val="32"/>
        </w:rPr>
        <w:t xml:space="preserve">: </w:t>
      </w:r>
      <w:r w:rsidR="00900D15" w:rsidRPr="00B669A6">
        <w:rPr>
          <w:rFonts w:asciiTheme="majorHAnsi" w:hAnsiTheme="majorHAnsi"/>
          <w:b/>
          <w:color w:val="0070C0"/>
          <w:sz w:val="32"/>
          <w:szCs w:val="32"/>
        </w:rPr>
        <w:t xml:space="preserve">EUs </w:t>
      </w:r>
      <w:r w:rsidR="0037449C" w:rsidRPr="00B669A6">
        <w:rPr>
          <w:rFonts w:asciiTheme="majorHAnsi" w:hAnsiTheme="majorHAnsi"/>
          <w:b/>
          <w:color w:val="0070C0"/>
          <w:sz w:val="32"/>
          <w:szCs w:val="32"/>
        </w:rPr>
        <w:t>rättsystem och rättskällor</w:t>
      </w:r>
    </w:p>
    <w:p w:rsidR="00494C21" w:rsidRPr="003004C9" w:rsidRDefault="00494C21" w:rsidP="00CF00BF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584FC2" w:rsidRPr="00303CB7" w:rsidRDefault="00EA109F" w:rsidP="00CF00BF">
      <w:pPr>
        <w:rPr>
          <w:rFonts w:asciiTheme="majorHAnsi" w:hAnsiTheme="majorHAnsi"/>
          <w:b/>
          <w:sz w:val="24"/>
          <w:szCs w:val="24"/>
        </w:rPr>
      </w:pPr>
      <w:r w:rsidRPr="003004C9">
        <w:rPr>
          <w:rFonts w:asciiTheme="majorHAnsi" w:hAnsiTheme="majorHAnsi"/>
          <w:b/>
          <w:sz w:val="24"/>
          <w:szCs w:val="24"/>
        </w:rPr>
        <w:t xml:space="preserve">EUs </w:t>
      </w:r>
      <w:r w:rsidR="0037449C">
        <w:rPr>
          <w:rFonts w:asciiTheme="majorHAnsi" w:hAnsiTheme="majorHAnsi"/>
          <w:b/>
          <w:sz w:val="24"/>
          <w:szCs w:val="24"/>
        </w:rPr>
        <w:t xml:space="preserve">evolution: </w:t>
      </w:r>
      <w:r w:rsidR="003004C9">
        <w:rPr>
          <w:rFonts w:asciiTheme="majorHAnsi" w:hAnsiTheme="majorHAnsi"/>
          <w:b/>
          <w:sz w:val="24"/>
          <w:szCs w:val="24"/>
        </w:rPr>
        <w:t>kriser</w:t>
      </w:r>
      <w:r w:rsidR="0037449C">
        <w:rPr>
          <w:rFonts w:asciiTheme="majorHAnsi" w:hAnsiTheme="majorHAnsi"/>
          <w:b/>
          <w:sz w:val="24"/>
          <w:szCs w:val="24"/>
        </w:rPr>
        <w:t xml:space="preserve"> och den institutionella ramen</w:t>
      </w:r>
      <w:r w:rsidR="007B48F3">
        <w:rPr>
          <w:rFonts w:asciiTheme="majorHAnsi" w:hAnsiTheme="majorHAnsi"/>
          <w:color w:val="0070C0"/>
          <w:sz w:val="24"/>
          <w:szCs w:val="24"/>
        </w:rPr>
        <w:tab/>
      </w:r>
      <w:r w:rsidR="00F87361">
        <w:rPr>
          <w:rFonts w:asciiTheme="majorHAnsi" w:hAnsiTheme="majorHAnsi"/>
          <w:color w:val="0070C0"/>
          <w:sz w:val="24"/>
          <w:szCs w:val="24"/>
        </w:rPr>
        <w:t xml:space="preserve">            </w:t>
      </w:r>
      <w:r w:rsidR="00584FC2" w:rsidRPr="00584FC2">
        <w:rPr>
          <w:rFonts w:asciiTheme="majorHAnsi" w:hAnsiTheme="majorHAnsi"/>
          <w:color w:val="0070C0"/>
          <w:sz w:val="24"/>
          <w:szCs w:val="24"/>
        </w:rPr>
        <w:t xml:space="preserve">artikel </w:t>
      </w:r>
      <w:r w:rsidR="00584FC2">
        <w:rPr>
          <w:rFonts w:asciiTheme="majorHAnsi" w:hAnsiTheme="majorHAnsi"/>
          <w:color w:val="0070C0"/>
          <w:sz w:val="24"/>
          <w:szCs w:val="24"/>
        </w:rPr>
        <w:t>13</w:t>
      </w:r>
      <w:r w:rsidR="0083693E">
        <w:rPr>
          <w:rFonts w:asciiTheme="majorHAnsi" w:hAnsiTheme="majorHAnsi"/>
          <w:color w:val="0070C0"/>
          <w:sz w:val="24"/>
          <w:szCs w:val="24"/>
        </w:rPr>
        <w:t>–19</w:t>
      </w:r>
      <w:r w:rsidR="00584FC2" w:rsidRPr="00584FC2">
        <w:rPr>
          <w:rFonts w:asciiTheme="majorHAnsi" w:hAnsiTheme="majorHAnsi"/>
          <w:color w:val="0070C0"/>
          <w:sz w:val="24"/>
          <w:szCs w:val="24"/>
        </w:rPr>
        <w:t xml:space="preserve"> FEU</w:t>
      </w:r>
    </w:p>
    <w:p w:rsidR="00AA734D" w:rsidRPr="003004C9" w:rsidRDefault="003004C9" w:rsidP="00CF00B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EU-rättens</w:t>
      </w:r>
      <w:r w:rsidR="00EA109F" w:rsidRPr="003004C9">
        <w:rPr>
          <w:rFonts w:asciiTheme="majorHAnsi" w:hAnsiTheme="majorHAnsi"/>
          <w:b/>
          <w:sz w:val="24"/>
          <w:szCs w:val="24"/>
        </w:rPr>
        <w:t xml:space="preserve"> </w:t>
      </w:r>
      <w:r w:rsidR="009F1403">
        <w:rPr>
          <w:rFonts w:asciiTheme="majorHAnsi" w:hAnsiTheme="majorHAnsi"/>
          <w:b/>
          <w:sz w:val="24"/>
          <w:szCs w:val="24"/>
        </w:rPr>
        <w:t xml:space="preserve">konstitutionella </w:t>
      </w:r>
      <w:r w:rsidR="00EA109F" w:rsidRPr="003004C9">
        <w:rPr>
          <w:rFonts w:asciiTheme="majorHAnsi" w:hAnsiTheme="majorHAnsi"/>
          <w:b/>
          <w:sz w:val="24"/>
          <w:szCs w:val="24"/>
        </w:rPr>
        <w:t>p</w:t>
      </w:r>
      <w:r w:rsidR="00AA734D" w:rsidRPr="003004C9">
        <w:rPr>
          <w:rFonts w:asciiTheme="majorHAnsi" w:hAnsiTheme="majorHAnsi"/>
          <w:b/>
          <w:sz w:val="24"/>
          <w:szCs w:val="24"/>
        </w:rPr>
        <w:t>rinciper</w:t>
      </w:r>
      <w:r w:rsidR="00C9269D" w:rsidRPr="003004C9">
        <w:rPr>
          <w:rFonts w:asciiTheme="majorHAnsi" w:hAnsiTheme="majorHAnsi"/>
          <w:b/>
          <w:sz w:val="24"/>
          <w:szCs w:val="24"/>
        </w:rPr>
        <w:t>:</w:t>
      </w:r>
      <w:r w:rsidR="007021D0">
        <w:rPr>
          <w:rFonts w:asciiTheme="majorHAnsi" w:hAnsiTheme="majorHAnsi"/>
          <w:b/>
          <w:sz w:val="24"/>
          <w:szCs w:val="24"/>
        </w:rPr>
        <w:t xml:space="preserve"> analys</w:t>
      </w:r>
      <w:r w:rsidR="00AA734D" w:rsidRPr="003004C9">
        <w:rPr>
          <w:rFonts w:asciiTheme="majorHAnsi" w:hAnsiTheme="majorHAnsi"/>
          <w:b/>
          <w:sz w:val="24"/>
          <w:szCs w:val="24"/>
        </w:rPr>
        <w:t>schema</w:t>
      </w:r>
    </w:p>
    <w:p w:rsidR="00370550" w:rsidRDefault="00AA734D" w:rsidP="00CF00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Principen om tilldelade befogenheter</w:t>
      </w:r>
      <w:r w:rsidR="00370550">
        <w:rPr>
          <w:rFonts w:asciiTheme="majorHAnsi" w:hAnsiTheme="majorHAnsi"/>
          <w:sz w:val="24"/>
          <w:szCs w:val="24"/>
        </w:rPr>
        <w:t xml:space="preserve"> </w:t>
      </w:r>
      <w:r w:rsidR="00D80417">
        <w:rPr>
          <w:rFonts w:asciiTheme="majorHAnsi" w:hAnsiTheme="majorHAnsi"/>
          <w:sz w:val="24"/>
          <w:szCs w:val="24"/>
        </w:rPr>
        <w:t xml:space="preserve">   </w:t>
      </w:r>
      <w:r w:rsidR="00D80417">
        <w:rPr>
          <w:rFonts w:asciiTheme="majorHAnsi" w:hAnsiTheme="majorHAnsi"/>
          <w:sz w:val="24"/>
          <w:szCs w:val="24"/>
        </w:rPr>
        <w:tab/>
      </w:r>
      <w:r w:rsidR="00F87361">
        <w:rPr>
          <w:rFonts w:asciiTheme="majorHAnsi" w:hAnsiTheme="majorHAnsi"/>
          <w:sz w:val="24"/>
          <w:szCs w:val="24"/>
        </w:rPr>
        <w:t xml:space="preserve">                      </w:t>
      </w:r>
      <w:r w:rsidR="00F57F3C">
        <w:rPr>
          <w:rFonts w:asciiTheme="majorHAnsi" w:hAnsiTheme="majorHAnsi"/>
          <w:color w:val="0070C0"/>
          <w:sz w:val="24"/>
          <w:szCs w:val="24"/>
        </w:rPr>
        <w:t>artikel 5</w:t>
      </w:r>
      <w:r w:rsidR="00370550" w:rsidRPr="00370550">
        <w:rPr>
          <w:rFonts w:asciiTheme="majorHAnsi" w:hAnsiTheme="majorHAnsi"/>
          <w:color w:val="0070C0"/>
          <w:sz w:val="24"/>
          <w:szCs w:val="24"/>
        </w:rPr>
        <w:t xml:space="preserve"> FEU</w:t>
      </w:r>
    </w:p>
    <w:p w:rsidR="00AA734D" w:rsidRDefault="00303CB7" w:rsidP="00F87361">
      <w:pPr>
        <w:ind w:left="26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</w:t>
      </w:r>
      <w:r w:rsidR="00370550">
        <w:rPr>
          <w:rFonts w:asciiTheme="majorHAnsi" w:hAnsiTheme="majorHAnsi"/>
          <w:sz w:val="24"/>
          <w:szCs w:val="24"/>
        </w:rPr>
        <w:t xml:space="preserve">fr </w:t>
      </w:r>
      <w:r w:rsidR="00AA734D">
        <w:rPr>
          <w:rFonts w:asciiTheme="majorHAnsi" w:hAnsiTheme="majorHAnsi"/>
          <w:sz w:val="24"/>
          <w:szCs w:val="24"/>
        </w:rPr>
        <w:t>MS grundlagar</w:t>
      </w:r>
      <w:r w:rsidR="00370550">
        <w:rPr>
          <w:rFonts w:asciiTheme="majorHAnsi" w:hAnsiTheme="majorHAnsi"/>
          <w:sz w:val="24"/>
          <w:szCs w:val="24"/>
        </w:rPr>
        <w:t xml:space="preserve"> och särskilt Sverige 10 kap 6 § RF</w:t>
      </w:r>
    </w:p>
    <w:p w:rsidR="007A30B5" w:rsidRPr="008236A9" w:rsidRDefault="007A30B5" w:rsidP="00CF00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Krav</w:t>
      </w:r>
      <w:r>
        <w:rPr>
          <w:rFonts w:asciiTheme="majorHAnsi" w:hAnsiTheme="majorHAnsi"/>
          <w:sz w:val="24"/>
          <w:szCs w:val="24"/>
        </w:rPr>
        <w:t xml:space="preserve"> på lagstiftning</w:t>
      </w:r>
    </w:p>
    <w:p w:rsidR="001371BC" w:rsidRPr="008236A9" w:rsidRDefault="00AC65CF" w:rsidP="00CF00BF">
      <w:pPr>
        <w:ind w:left="1304" w:firstLine="1304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7A30B5" w:rsidRPr="008236A9">
        <w:rPr>
          <w:rFonts w:asciiTheme="majorHAnsi" w:hAnsiTheme="majorHAnsi"/>
          <w:sz w:val="24"/>
          <w:szCs w:val="24"/>
        </w:rPr>
        <w:t xml:space="preserve">ättslig grund </w:t>
      </w:r>
      <w:r w:rsidR="00370550" w:rsidRPr="008236A9">
        <w:rPr>
          <w:rFonts w:asciiTheme="majorHAnsi" w:hAnsiTheme="majorHAnsi"/>
          <w:sz w:val="24"/>
          <w:szCs w:val="24"/>
        </w:rPr>
        <w:t xml:space="preserve">+ motivering     </w:t>
      </w:r>
      <w:r w:rsidR="00D80417">
        <w:rPr>
          <w:rFonts w:asciiTheme="majorHAnsi" w:hAnsiTheme="majorHAnsi"/>
          <w:sz w:val="24"/>
          <w:szCs w:val="24"/>
        </w:rPr>
        <w:tab/>
      </w:r>
      <w:r w:rsidR="00F87361">
        <w:rPr>
          <w:rFonts w:asciiTheme="majorHAnsi" w:hAnsiTheme="majorHAnsi"/>
          <w:sz w:val="24"/>
          <w:szCs w:val="24"/>
        </w:rPr>
        <w:t xml:space="preserve">               </w:t>
      </w:r>
      <w:r w:rsidR="001371BC" w:rsidRPr="008236A9">
        <w:rPr>
          <w:rFonts w:asciiTheme="majorHAnsi" w:hAnsiTheme="majorHAnsi"/>
          <w:color w:val="0070C0"/>
          <w:sz w:val="24"/>
          <w:szCs w:val="24"/>
        </w:rPr>
        <w:t>artikel 296 FEUF</w:t>
      </w:r>
      <w:r w:rsidR="001371BC" w:rsidRPr="008236A9">
        <w:rPr>
          <w:rFonts w:asciiTheme="majorHAnsi" w:hAnsiTheme="majorHAnsi"/>
          <w:color w:val="0070C0"/>
          <w:sz w:val="24"/>
          <w:szCs w:val="24"/>
        </w:rPr>
        <w:t xml:space="preserve"> </w:t>
      </w:r>
    </w:p>
    <w:p w:rsidR="008236A9" w:rsidRPr="008236A9" w:rsidRDefault="009E6C49" w:rsidP="00CF00BF">
      <w:pPr>
        <w:ind w:firstLine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 xml:space="preserve">   </w:t>
      </w:r>
      <w:r>
        <w:rPr>
          <w:rFonts w:asciiTheme="majorHAnsi" w:hAnsiTheme="majorHAnsi"/>
          <w:color w:val="0070C0"/>
          <w:sz w:val="24"/>
          <w:szCs w:val="24"/>
        </w:rPr>
        <w:tab/>
      </w:r>
      <w:r w:rsidR="007B48F3">
        <w:rPr>
          <w:rFonts w:asciiTheme="majorHAnsi" w:hAnsiTheme="majorHAnsi"/>
          <w:color w:val="0070C0"/>
          <w:sz w:val="24"/>
          <w:szCs w:val="24"/>
        </w:rPr>
        <w:t xml:space="preserve">            </w:t>
      </w:r>
      <w:r w:rsidR="00BC1A53">
        <w:rPr>
          <w:rFonts w:asciiTheme="majorHAnsi" w:hAnsiTheme="majorHAnsi"/>
          <w:color w:val="0070C0"/>
          <w:sz w:val="24"/>
          <w:szCs w:val="24"/>
        </w:rPr>
        <w:tab/>
      </w:r>
      <w:bookmarkStart w:id="0" w:name="_GoBack"/>
      <w:bookmarkEnd w:id="0"/>
      <w:r w:rsidRPr="00F87361">
        <w:rPr>
          <w:rFonts w:asciiTheme="majorHAnsi" w:hAnsiTheme="majorHAnsi"/>
          <w:sz w:val="24"/>
          <w:szCs w:val="24"/>
        </w:rPr>
        <w:t>EX</w:t>
      </w:r>
      <w:r w:rsidR="007B48F3" w:rsidRPr="00F87361">
        <w:rPr>
          <w:rFonts w:asciiTheme="majorHAnsi" w:hAnsiTheme="majorHAnsi"/>
          <w:sz w:val="24"/>
          <w:szCs w:val="24"/>
        </w:rPr>
        <w:t>EMPEL</w:t>
      </w:r>
      <w:r w:rsidRPr="00F87361">
        <w:rPr>
          <w:rFonts w:asciiTheme="majorHAnsi" w:hAnsiTheme="majorHAnsi"/>
          <w:sz w:val="24"/>
          <w:szCs w:val="24"/>
        </w:rPr>
        <w:t>:</w:t>
      </w:r>
      <w:r w:rsidR="008236A9" w:rsidRPr="00F87361">
        <w:rPr>
          <w:rFonts w:asciiTheme="majorHAnsi" w:hAnsiTheme="majorHAnsi"/>
          <w:sz w:val="24"/>
          <w:szCs w:val="24"/>
        </w:rPr>
        <w:t xml:space="preserve"> </w:t>
      </w:r>
      <w:r w:rsidR="008236A9" w:rsidRPr="008236A9">
        <w:rPr>
          <w:rFonts w:asciiTheme="majorHAnsi" w:hAnsiTheme="majorHAnsi"/>
          <w:color w:val="0070C0"/>
          <w:sz w:val="24"/>
          <w:szCs w:val="24"/>
        </w:rPr>
        <w:t>artikel 114, 194 och 352 FEUF</w:t>
      </w:r>
    </w:p>
    <w:p w:rsidR="00370550" w:rsidRPr="008236A9" w:rsidRDefault="00AC65CF" w:rsidP="00CF00BF">
      <w:pPr>
        <w:ind w:left="1304" w:firstLine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370550" w:rsidRPr="008236A9">
        <w:rPr>
          <w:rFonts w:asciiTheme="majorHAnsi" w:hAnsiTheme="majorHAnsi"/>
          <w:sz w:val="24"/>
          <w:szCs w:val="24"/>
        </w:rPr>
        <w:t xml:space="preserve">espekt för nationell identitet </w:t>
      </w:r>
      <w:r w:rsidR="008236A9">
        <w:rPr>
          <w:rFonts w:asciiTheme="majorHAnsi" w:hAnsiTheme="majorHAnsi"/>
          <w:sz w:val="24"/>
          <w:szCs w:val="24"/>
        </w:rPr>
        <w:t xml:space="preserve">   </w:t>
      </w:r>
      <w:r w:rsidR="00F57F3C">
        <w:rPr>
          <w:rFonts w:asciiTheme="majorHAnsi" w:hAnsiTheme="majorHAnsi"/>
          <w:sz w:val="24"/>
          <w:szCs w:val="24"/>
        </w:rPr>
        <w:t xml:space="preserve">    </w:t>
      </w:r>
      <w:r w:rsidR="00303CB7">
        <w:rPr>
          <w:rFonts w:asciiTheme="majorHAnsi" w:hAnsiTheme="majorHAnsi"/>
          <w:sz w:val="24"/>
          <w:szCs w:val="24"/>
        </w:rPr>
        <w:tab/>
      </w:r>
      <w:r w:rsidR="00F87361">
        <w:rPr>
          <w:rFonts w:asciiTheme="majorHAnsi" w:hAnsiTheme="majorHAnsi"/>
          <w:sz w:val="24"/>
          <w:szCs w:val="24"/>
        </w:rPr>
        <w:t xml:space="preserve">                      </w:t>
      </w:r>
      <w:r w:rsidR="00F57F3C">
        <w:rPr>
          <w:rFonts w:asciiTheme="majorHAnsi" w:hAnsiTheme="majorHAnsi"/>
          <w:color w:val="0070C0"/>
          <w:sz w:val="24"/>
          <w:szCs w:val="24"/>
        </w:rPr>
        <w:t>artikel 4</w:t>
      </w:r>
      <w:r w:rsidR="00370550" w:rsidRPr="008236A9">
        <w:rPr>
          <w:rFonts w:asciiTheme="majorHAnsi" w:hAnsiTheme="majorHAnsi"/>
          <w:color w:val="0070C0"/>
          <w:sz w:val="24"/>
          <w:szCs w:val="24"/>
        </w:rPr>
        <w:t xml:space="preserve"> FEU</w:t>
      </w:r>
    </w:p>
    <w:p w:rsidR="00F57F3C" w:rsidRDefault="00AC65CF" w:rsidP="00CF00BF">
      <w:pPr>
        <w:ind w:left="1304" w:firstLine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F57F3C">
        <w:rPr>
          <w:rFonts w:asciiTheme="majorHAnsi" w:hAnsiTheme="majorHAnsi"/>
          <w:sz w:val="24"/>
          <w:szCs w:val="24"/>
        </w:rPr>
        <w:t xml:space="preserve">ubsidiaritets- och </w:t>
      </w:r>
      <w:r w:rsidR="007A30B5" w:rsidRPr="008236A9">
        <w:rPr>
          <w:rFonts w:asciiTheme="majorHAnsi" w:hAnsiTheme="majorHAnsi"/>
          <w:sz w:val="24"/>
          <w:szCs w:val="24"/>
        </w:rPr>
        <w:t>proportionalitet</w:t>
      </w:r>
      <w:r w:rsidR="00370550" w:rsidRPr="008236A9">
        <w:rPr>
          <w:rFonts w:asciiTheme="majorHAnsi" w:hAnsiTheme="majorHAnsi"/>
          <w:sz w:val="24"/>
          <w:szCs w:val="24"/>
        </w:rPr>
        <w:t>sprincipen</w:t>
      </w:r>
    </w:p>
    <w:p w:rsidR="00370550" w:rsidRPr="007B48F3" w:rsidRDefault="00370550" w:rsidP="000E052C">
      <w:pPr>
        <w:ind w:left="2608" w:firstLine="1304"/>
        <w:rPr>
          <w:rFonts w:asciiTheme="majorHAnsi" w:hAnsiTheme="majorHAnsi"/>
          <w:color w:val="0070C0"/>
          <w:sz w:val="24"/>
          <w:szCs w:val="24"/>
        </w:rPr>
      </w:pPr>
      <w:r w:rsidRPr="008236A9">
        <w:rPr>
          <w:rFonts w:asciiTheme="majorHAnsi" w:hAnsiTheme="majorHAnsi"/>
          <w:color w:val="0070C0"/>
          <w:sz w:val="24"/>
          <w:szCs w:val="24"/>
        </w:rPr>
        <w:t xml:space="preserve">     </w:t>
      </w:r>
      <w:r w:rsidR="008236A9">
        <w:rPr>
          <w:rFonts w:asciiTheme="majorHAnsi" w:hAnsiTheme="majorHAnsi"/>
          <w:color w:val="0070C0"/>
          <w:sz w:val="24"/>
          <w:szCs w:val="24"/>
        </w:rPr>
        <w:t xml:space="preserve">    </w:t>
      </w:r>
      <w:r w:rsidR="00F57F3C">
        <w:rPr>
          <w:rFonts w:asciiTheme="majorHAnsi" w:hAnsiTheme="majorHAnsi"/>
          <w:color w:val="0070C0"/>
          <w:sz w:val="24"/>
          <w:szCs w:val="24"/>
        </w:rPr>
        <w:t xml:space="preserve">   </w:t>
      </w:r>
      <w:r w:rsidR="00513F0E">
        <w:rPr>
          <w:rFonts w:asciiTheme="majorHAnsi" w:hAnsiTheme="majorHAnsi"/>
          <w:color w:val="0070C0"/>
          <w:sz w:val="24"/>
          <w:szCs w:val="24"/>
        </w:rPr>
        <w:t xml:space="preserve">                          </w:t>
      </w:r>
      <w:r w:rsidR="000E052C">
        <w:rPr>
          <w:rFonts w:asciiTheme="majorHAnsi" w:hAnsiTheme="majorHAnsi"/>
          <w:color w:val="0070C0"/>
          <w:sz w:val="24"/>
          <w:szCs w:val="24"/>
        </w:rPr>
        <w:t xml:space="preserve">       </w:t>
      </w:r>
      <w:r w:rsidR="00F57F3C">
        <w:rPr>
          <w:rFonts w:asciiTheme="majorHAnsi" w:hAnsiTheme="majorHAnsi"/>
          <w:color w:val="0070C0"/>
          <w:sz w:val="24"/>
          <w:szCs w:val="24"/>
        </w:rPr>
        <w:t>artikel 5</w:t>
      </w:r>
      <w:r w:rsidRPr="008236A9">
        <w:rPr>
          <w:rFonts w:asciiTheme="majorHAnsi" w:hAnsiTheme="majorHAnsi"/>
          <w:color w:val="0070C0"/>
          <w:sz w:val="24"/>
          <w:szCs w:val="24"/>
        </w:rPr>
        <w:t xml:space="preserve"> FEU</w:t>
      </w:r>
      <w:r w:rsidR="000E052C">
        <w:rPr>
          <w:rFonts w:asciiTheme="majorHAnsi" w:hAnsiTheme="majorHAnsi"/>
          <w:color w:val="0070C0"/>
          <w:sz w:val="24"/>
          <w:szCs w:val="24"/>
        </w:rPr>
        <w:t xml:space="preserve"> + </w:t>
      </w:r>
      <w:r w:rsidR="00F57F3C">
        <w:rPr>
          <w:rFonts w:asciiTheme="majorHAnsi" w:hAnsiTheme="majorHAnsi"/>
          <w:color w:val="0070C0"/>
          <w:sz w:val="24"/>
          <w:szCs w:val="24"/>
        </w:rPr>
        <w:t>protokoll</w:t>
      </w:r>
      <w:r w:rsidR="007B48F3">
        <w:rPr>
          <w:rFonts w:asciiTheme="majorHAnsi" w:hAnsiTheme="majorHAnsi"/>
          <w:color w:val="0070C0"/>
          <w:sz w:val="24"/>
          <w:szCs w:val="24"/>
        </w:rPr>
        <w:t xml:space="preserve"> </w:t>
      </w:r>
      <w:r w:rsidR="00513F0E">
        <w:rPr>
          <w:rFonts w:asciiTheme="majorHAnsi" w:hAnsiTheme="majorHAnsi"/>
          <w:color w:val="0070C0"/>
          <w:sz w:val="24"/>
          <w:szCs w:val="24"/>
        </w:rPr>
        <w:t>2</w:t>
      </w:r>
    </w:p>
    <w:p w:rsidR="007A30B5" w:rsidRDefault="00AC65CF" w:rsidP="00CF00BF">
      <w:pPr>
        <w:ind w:left="1304" w:firstLine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7A30B5" w:rsidRPr="008236A9">
        <w:rPr>
          <w:rFonts w:asciiTheme="majorHAnsi" w:hAnsiTheme="majorHAnsi"/>
          <w:sz w:val="24"/>
          <w:szCs w:val="24"/>
        </w:rPr>
        <w:t>espekt för</w:t>
      </w:r>
      <w:r w:rsidR="007A30B5">
        <w:rPr>
          <w:rFonts w:asciiTheme="majorHAnsi" w:hAnsiTheme="majorHAnsi"/>
          <w:sz w:val="24"/>
          <w:szCs w:val="24"/>
        </w:rPr>
        <w:t xml:space="preserve"> grundläggande fri och rättigheter</w:t>
      </w:r>
    </w:p>
    <w:p w:rsidR="00370550" w:rsidRDefault="00303CB7" w:rsidP="00CF00BF">
      <w:pPr>
        <w:ind w:left="2608" w:firstLine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70550">
        <w:rPr>
          <w:rFonts w:asciiTheme="majorHAnsi" w:hAnsiTheme="majorHAnsi"/>
          <w:sz w:val="24"/>
          <w:szCs w:val="24"/>
        </w:rPr>
        <w:t xml:space="preserve">       </w:t>
      </w:r>
      <w:r w:rsidR="008236A9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ab/>
      </w:r>
      <w:r w:rsidR="00F87361">
        <w:rPr>
          <w:rFonts w:asciiTheme="majorHAnsi" w:hAnsiTheme="majorHAnsi"/>
          <w:sz w:val="24"/>
          <w:szCs w:val="24"/>
        </w:rPr>
        <w:t xml:space="preserve">                      </w:t>
      </w:r>
      <w:r w:rsidR="00370550">
        <w:rPr>
          <w:rFonts w:asciiTheme="majorHAnsi" w:hAnsiTheme="majorHAnsi"/>
          <w:color w:val="0070C0"/>
          <w:sz w:val="24"/>
          <w:szCs w:val="24"/>
        </w:rPr>
        <w:t>artikel 6</w:t>
      </w:r>
      <w:r w:rsidR="00370550" w:rsidRPr="00370550">
        <w:rPr>
          <w:rFonts w:asciiTheme="majorHAnsi" w:hAnsiTheme="majorHAnsi"/>
          <w:color w:val="0070C0"/>
          <w:sz w:val="24"/>
          <w:szCs w:val="24"/>
        </w:rPr>
        <w:t xml:space="preserve"> FEU</w:t>
      </w:r>
    </w:p>
    <w:p w:rsidR="007A30B5" w:rsidRDefault="009F1403" w:rsidP="00CF00BF">
      <w:pPr>
        <w:ind w:left="2608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7A30B5">
        <w:rPr>
          <w:rFonts w:asciiTheme="majorHAnsi" w:hAnsiTheme="majorHAnsi"/>
          <w:sz w:val="24"/>
          <w:szCs w:val="24"/>
        </w:rPr>
        <w:t>rincipen om lojalt samarbete</w:t>
      </w:r>
      <w:r w:rsidR="00303CB7">
        <w:rPr>
          <w:rFonts w:asciiTheme="majorHAnsi" w:hAnsiTheme="majorHAnsi"/>
          <w:sz w:val="24"/>
          <w:szCs w:val="24"/>
        </w:rPr>
        <w:tab/>
      </w:r>
      <w:r w:rsidR="00F87361">
        <w:rPr>
          <w:rFonts w:asciiTheme="majorHAnsi" w:hAnsiTheme="majorHAnsi"/>
          <w:sz w:val="24"/>
          <w:szCs w:val="24"/>
        </w:rPr>
        <w:t xml:space="preserve">                      </w:t>
      </w:r>
      <w:r w:rsidR="00F57F3C">
        <w:rPr>
          <w:rFonts w:asciiTheme="majorHAnsi" w:hAnsiTheme="majorHAnsi"/>
          <w:color w:val="0070C0"/>
          <w:sz w:val="24"/>
          <w:szCs w:val="24"/>
        </w:rPr>
        <w:t>artikel 4</w:t>
      </w:r>
      <w:r w:rsidR="00370550" w:rsidRPr="00370550">
        <w:rPr>
          <w:rFonts w:asciiTheme="majorHAnsi" w:hAnsiTheme="majorHAnsi"/>
          <w:color w:val="0070C0"/>
          <w:sz w:val="24"/>
          <w:szCs w:val="24"/>
        </w:rPr>
        <w:t xml:space="preserve"> FEU</w:t>
      </w:r>
    </w:p>
    <w:p w:rsidR="009F1403" w:rsidRDefault="003004C9" w:rsidP="00400D72">
      <w:pPr>
        <w:ind w:left="1304" w:firstLine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Jfr EU-domstolens processformer och effektivitetsprinciper</w:t>
      </w:r>
    </w:p>
    <w:p w:rsidR="004E133C" w:rsidRPr="009F1403" w:rsidRDefault="00001122" w:rsidP="00CF00BF">
      <w:pPr>
        <w:rPr>
          <w:rFonts w:asciiTheme="majorHAnsi" w:hAnsiTheme="majorHAnsi"/>
          <w:b/>
          <w:sz w:val="24"/>
          <w:szCs w:val="24"/>
        </w:rPr>
      </w:pPr>
      <w:r w:rsidRPr="009F1403">
        <w:rPr>
          <w:rFonts w:asciiTheme="majorHAnsi" w:hAnsiTheme="majorHAnsi"/>
          <w:b/>
          <w:sz w:val="24"/>
          <w:szCs w:val="24"/>
        </w:rPr>
        <w:t xml:space="preserve">EUs </w:t>
      </w:r>
      <w:r w:rsidR="004E133C" w:rsidRPr="009F1403">
        <w:rPr>
          <w:rFonts w:asciiTheme="majorHAnsi" w:hAnsiTheme="majorHAnsi"/>
          <w:b/>
          <w:sz w:val="24"/>
          <w:szCs w:val="24"/>
        </w:rPr>
        <w:t>r</w:t>
      </w:r>
      <w:r w:rsidR="004E133C" w:rsidRPr="009F1403">
        <w:rPr>
          <w:rFonts w:asciiTheme="majorHAnsi" w:hAnsiTheme="majorHAnsi"/>
          <w:b/>
          <w:sz w:val="24"/>
          <w:szCs w:val="24"/>
        </w:rPr>
        <w:t>ättskällor</w:t>
      </w:r>
      <w:r w:rsidR="004E133C" w:rsidRPr="009F1403">
        <w:rPr>
          <w:rFonts w:asciiTheme="majorHAnsi" w:hAnsiTheme="majorHAnsi"/>
          <w:b/>
          <w:sz w:val="24"/>
          <w:szCs w:val="24"/>
        </w:rPr>
        <w:t>: primärrätt och sekundärrätt</w:t>
      </w:r>
    </w:p>
    <w:p w:rsidR="004E133C" w:rsidRDefault="00AC65CF" w:rsidP="00CF00BF">
      <w:pPr>
        <w:ind w:left="2608" w:firstLine="1304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</w:t>
      </w:r>
      <w:r w:rsidR="004E133C">
        <w:rPr>
          <w:rFonts w:asciiTheme="majorHAnsi" w:hAnsiTheme="majorHAnsi"/>
          <w:sz w:val="24"/>
          <w:szCs w:val="24"/>
        </w:rPr>
        <w:t>ördrag</w:t>
      </w:r>
      <w:proofErr w:type="gramEnd"/>
      <w:r w:rsidR="004E133C">
        <w:rPr>
          <w:rFonts w:asciiTheme="majorHAnsi" w:hAnsiTheme="majorHAnsi"/>
          <w:sz w:val="24"/>
          <w:szCs w:val="24"/>
        </w:rPr>
        <w:t>, rättighetsstadga och protokoll</w:t>
      </w:r>
    </w:p>
    <w:p w:rsidR="00AA734D" w:rsidRDefault="00AC65CF" w:rsidP="00CF00BF">
      <w:pPr>
        <w:ind w:left="2608" w:firstLine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4E133C">
        <w:rPr>
          <w:rFonts w:asciiTheme="majorHAnsi" w:hAnsiTheme="majorHAnsi"/>
          <w:sz w:val="24"/>
          <w:szCs w:val="24"/>
        </w:rPr>
        <w:t xml:space="preserve">ättsakter </w:t>
      </w:r>
      <w:r w:rsidR="006D1C95">
        <w:rPr>
          <w:rFonts w:asciiTheme="majorHAnsi" w:hAnsiTheme="majorHAnsi"/>
          <w:sz w:val="24"/>
          <w:szCs w:val="24"/>
        </w:rPr>
        <w:t xml:space="preserve">    </w:t>
      </w:r>
      <w:r w:rsidR="00303CB7">
        <w:rPr>
          <w:rFonts w:asciiTheme="majorHAnsi" w:hAnsiTheme="majorHAnsi"/>
          <w:sz w:val="24"/>
          <w:szCs w:val="24"/>
        </w:rPr>
        <w:t xml:space="preserve">                  </w:t>
      </w:r>
      <w:r w:rsidR="00303CB7">
        <w:rPr>
          <w:rFonts w:asciiTheme="majorHAnsi" w:hAnsiTheme="majorHAnsi"/>
          <w:sz w:val="24"/>
          <w:szCs w:val="24"/>
        </w:rPr>
        <w:tab/>
      </w:r>
      <w:r w:rsidR="00F87361">
        <w:rPr>
          <w:rFonts w:asciiTheme="majorHAnsi" w:hAnsiTheme="majorHAnsi"/>
          <w:sz w:val="24"/>
          <w:szCs w:val="24"/>
        </w:rPr>
        <w:t xml:space="preserve">     </w:t>
      </w:r>
      <w:r w:rsidR="006D1C95" w:rsidRPr="006D1C95">
        <w:rPr>
          <w:rFonts w:asciiTheme="majorHAnsi" w:hAnsiTheme="majorHAnsi"/>
          <w:color w:val="0070C0"/>
          <w:sz w:val="24"/>
          <w:szCs w:val="24"/>
        </w:rPr>
        <w:t>a</w:t>
      </w:r>
      <w:r w:rsidR="007A30B5" w:rsidRPr="006D1C95">
        <w:rPr>
          <w:rFonts w:asciiTheme="majorHAnsi" w:hAnsiTheme="majorHAnsi"/>
          <w:color w:val="0070C0"/>
          <w:sz w:val="24"/>
          <w:szCs w:val="24"/>
        </w:rPr>
        <w:t>rtikel 288-292</w:t>
      </w:r>
      <w:r w:rsidR="006D1C95">
        <w:rPr>
          <w:rFonts w:asciiTheme="majorHAnsi" w:hAnsiTheme="majorHAnsi"/>
          <w:color w:val="0070C0"/>
          <w:sz w:val="24"/>
          <w:szCs w:val="24"/>
        </w:rPr>
        <w:t xml:space="preserve"> FEUF</w:t>
      </w:r>
    </w:p>
    <w:p w:rsidR="006D1C95" w:rsidRDefault="00AC65CF" w:rsidP="00CF00BF">
      <w:pPr>
        <w:ind w:left="3912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</w:t>
      </w:r>
      <w:r w:rsidR="006D1C95">
        <w:rPr>
          <w:rFonts w:asciiTheme="majorHAnsi" w:hAnsiTheme="majorHAnsi"/>
          <w:sz w:val="24"/>
          <w:szCs w:val="24"/>
        </w:rPr>
        <w:t>örarbeten</w:t>
      </w:r>
      <w:r w:rsidR="00303CB7">
        <w:rPr>
          <w:rFonts w:asciiTheme="majorHAnsi" w:hAnsiTheme="majorHAnsi"/>
          <w:sz w:val="24"/>
          <w:szCs w:val="24"/>
        </w:rPr>
        <w:t xml:space="preserve">: särskilt </w:t>
      </w:r>
      <w:r w:rsidR="00404845">
        <w:rPr>
          <w:rFonts w:asciiTheme="majorHAnsi" w:hAnsiTheme="majorHAnsi"/>
          <w:sz w:val="24"/>
          <w:szCs w:val="24"/>
        </w:rPr>
        <w:t>rättsakters ’ingress’ och ’</w:t>
      </w:r>
      <w:r w:rsidR="00303CB7" w:rsidRPr="00303CB7">
        <w:rPr>
          <w:rFonts w:asciiTheme="majorHAnsi" w:hAnsiTheme="majorHAnsi"/>
          <w:sz w:val="24"/>
          <w:szCs w:val="24"/>
        </w:rPr>
        <w:t>motivering</w:t>
      </w:r>
      <w:r w:rsidR="00404845">
        <w:rPr>
          <w:rFonts w:asciiTheme="majorHAnsi" w:hAnsiTheme="majorHAnsi"/>
          <w:sz w:val="24"/>
          <w:szCs w:val="24"/>
        </w:rPr>
        <w:t>’</w:t>
      </w:r>
      <w:proofErr w:type="gramEnd"/>
      <w:r w:rsidR="00404845">
        <w:rPr>
          <w:rFonts w:asciiTheme="majorHAnsi" w:hAnsiTheme="majorHAnsi"/>
          <w:sz w:val="24"/>
          <w:szCs w:val="24"/>
        </w:rPr>
        <w:t xml:space="preserve"> i</w:t>
      </w:r>
      <w:r w:rsidR="00303CB7" w:rsidRPr="00303CB7">
        <w:rPr>
          <w:rFonts w:asciiTheme="majorHAnsi" w:hAnsiTheme="majorHAnsi"/>
          <w:sz w:val="24"/>
          <w:szCs w:val="24"/>
        </w:rPr>
        <w:t xml:space="preserve"> </w:t>
      </w:r>
      <w:r w:rsidR="00404845">
        <w:rPr>
          <w:rFonts w:asciiTheme="majorHAnsi" w:hAnsiTheme="majorHAnsi"/>
          <w:sz w:val="24"/>
          <w:szCs w:val="24"/>
        </w:rPr>
        <w:t>bakomliggande förslag</w:t>
      </w:r>
    </w:p>
    <w:p w:rsidR="00494C21" w:rsidRDefault="00AC65CF" w:rsidP="00CF00BF">
      <w:pPr>
        <w:ind w:left="2608" w:firstLine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4E133C">
        <w:rPr>
          <w:rFonts w:asciiTheme="majorHAnsi" w:hAnsiTheme="majorHAnsi"/>
          <w:sz w:val="24"/>
          <w:szCs w:val="24"/>
        </w:rPr>
        <w:t>ättspraxis</w:t>
      </w:r>
      <w:r w:rsidR="00001122">
        <w:rPr>
          <w:rFonts w:asciiTheme="majorHAnsi" w:hAnsiTheme="majorHAnsi"/>
          <w:sz w:val="24"/>
          <w:szCs w:val="24"/>
        </w:rPr>
        <w:t>?</w:t>
      </w:r>
      <w:r w:rsidR="007A30B5">
        <w:rPr>
          <w:rFonts w:asciiTheme="majorHAnsi" w:hAnsiTheme="majorHAnsi"/>
          <w:sz w:val="24"/>
          <w:szCs w:val="24"/>
        </w:rPr>
        <w:t xml:space="preserve"> </w:t>
      </w:r>
      <w:r w:rsidR="006348D8">
        <w:rPr>
          <w:rFonts w:asciiTheme="majorHAnsi" w:hAnsiTheme="majorHAnsi"/>
          <w:sz w:val="24"/>
          <w:szCs w:val="24"/>
        </w:rPr>
        <w:tab/>
      </w:r>
      <w:r w:rsidR="006348D8" w:rsidRPr="00BB0C1A">
        <w:rPr>
          <w:rFonts w:asciiTheme="majorHAnsi" w:hAnsiTheme="majorHAnsi"/>
          <w:sz w:val="24"/>
          <w:szCs w:val="24"/>
        </w:rPr>
        <w:t xml:space="preserve">    </w:t>
      </w:r>
      <w:r w:rsidR="006D1C95" w:rsidRPr="00BB0C1A">
        <w:rPr>
          <w:rFonts w:asciiTheme="majorHAnsi" w:hAnsiTheme="majorHAnsi"/>
          <w:sz w:val="24"/>
          <w:szCs w:val="24"/>
        </w:rPr>
        <w:t xml:space="preserve"> </w:t>
      </w:r>
      <w:r w:rsidR="00BB0C1A">
        <w:rPr>
          <w:rFonts w:asciiTheme="majorHAnsi" w:hAnsiTheme="majorHAnsi"/>
          <w:sz w:val="24"/>
          <w:szCs w:val="24"/>
        </w:rPr>
        <w:t xml:space="preserve">    → </w:t>
      </w:r>
      <w:r w:rsidR="007A30B5" w:rsidRPr="00F87361">
        <w:rPr>
          <w:rFonts w:asciiTheme="majorHAnsi" w:hAnsiTheme="majorHAnsi"/>
          <w:color w:val="0070C0"/>
          <w:sz w:val="24"/>
          <w:szCs w:val="24"/>
        </w:rPr>
        <w:t>nästa föreläsning</w:t>
      </w:r>
    </w:p>
    <w:p w:rsidR="00B669A6" w:rsidRPr="009362C3" w:rsidRDefault="0080787C" w:rsidP="00CF00BF">
      <w:pPr>
        <w:rPr>
          <w:rFonts w:asciiTheme="majorHAnsi" w:hAnsiTheme="majorHAnsi"/>
          <w:color w:val="0070C0"/>
          <w:sz w:val="24"/>
          <w:szCs w:val="24"/>
        </w:rPr>
      </w:pPr>
      <w:r w:rsidRPr="0080787C">
        <w:rPr>
          <w:rFonts w:asciiTheme="majorHAnsi" w:hAnsiTheme="majorHAnsi"/>
          <w:b/>
          <w:sz w:val="24"/>
          <w:szCs w:val="24"/>
        </w:rPr>
        <w:t>EUs d</w:t>
      </w:r>
      <w:r w:rsidRPr="0080787C">
        <w:rPr>
          <w:rFonts w:asciiTheme="majorHAnsi" w:hAnsiTheme="majorHAnsi"/>
          <w:b/>
          <w:sz w:val="24"/>
          <w:szCs w:val="24"/>
        </w:rPr>
        <w:t>atabaser</w:t>
      </w:r>
      <w:r w:rsidRPr="0080787C">
        <w:rPr>
          <w:rFonts w:asciiTheme="majorHAnsi" w:hAnsiTheme="majorHAnsi"/>
          <w:b/>
          <w:sz w:val="24"/>
          <w:szCs w:val="24"/>
        </w:rPr>
        <w:t xml:space="preserve"> med m</w:t>
      </w:r>
      <w:r>
        <w:rPr>
          <w:rFonts w:asciiTheme="majorHAnsi" w:hAnsiTheme="majorHAnsi"/>
          <w:b/>
          <w:sz w:val="24"/>
          <w:szCs w:val="24"/>
        </w:rPr>
        <w:t xml:space="preserve">aterial </w:t>
      </w:r>
      <w:r>
        <w:rPr>
          <w:rFonts w:asciiTheme="majorHAnsi" w:hAnsiTheme="majorHAnsi"/>
          <w:b/>
          <w:sz w:val="24"/>
          <w:szCs w:val="24"/>
        </w:rPr>
        <w:tab/>
      </w:r>
      <w:r w:rsidR="00F87361"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Pr="0083693E">
        <w:rPr>
          <w:rFonts w:asciiTheme="majorHAnsi" w:hAnsiTheme="majorHAnsi"/>
          <w:color w:val="0070C0"/>
          <w:sz w:val="24"/>
          <w:szCs w:val="24"/>
        </w:rPr>
        <w:t>EUR-Lex och CURIA.eu</w:t>
      </w:r>
      <w:r>
        <w:rPr>
          <w:rFonts w:asciiTheme="majorHAnsi" w:hAnsiTheme="majorHAnsi"/>
          <w:color w:val="0070C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70C0"/>
          <w:sz w:val="24"/>
          <w:szCs w:val="24"/>
        </w:rPr>
        <w:t>…även</w:t>
      </w:r>
      <w:proofErr w:type="gramEnd"/>
      <w:r>
        <w:rPr>
          <w:rFonts w:asciiTheme="majorHAnsi" w:hAnsiTheme="majorHAnsi"/>
          <w:color w:val="0070C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70C0"/>
          <w:sz w:val="24"/>
          <w:szCs w:val="24"/>
        </w:rPr>
        <w:t>Find-eR</w:t>
      </w:r>
      <w:proofErr w:type="spellEnd"/>
    </w:p>
    <w:p w:rsidR="00BA211B" w:rsidRDefault="00BA211B" w:rsidP="00CF00BF">
      <w:pPr>
        <w:rPr>
          <w:rFonts w:asciiTheme="majorHAnsi" w:hAnsiTheme="majorHAnsi"/>
          <w:sz w:val="24"/>
          <w:szCs w:val="24"/>
        </w:rPr>
      </w:pPr>
    </w:p>
    <w:p w:rsidR="00BA211B" w:rsidRDefault="00BA211B" w:rsidP="00CF00BF">
      <w:pPr>
        <w:rPr>
          <w:rFonts w:asciiTheme="majorHAnsi" w:hAnsiTheme="majorHAnsi"/>
          <w:sz w:val="24"/>
          <w:szCs w:val="24"/>
        </w:rPr>
      </w:pPr>
    </w:p>
    <w:p w:rsidR="00CF00BF" w:rsidRPr="00BA211B" w:rsidRDefault="00CF00BF" w:rsidP="00CF00BF">
      <w:pPr>
        <w:rPr>
          <w:rFonts w:asciiTheme="majorHAnsi" w:hAnsiTheme="majorHAnsi"/>
          <w:sz w:val="24"/>
          <w:szCs w:val="24"/>
        </w:rPr>
      </w:pPr>
      <w:r w:rsidRPr="00303CB7">
        <w:rPr>
          <w:rFonts w:asciiTheme="majorHAnsi" w:hAnsiTheme="majorHAnsi"/>
          <w:sz w:val="24"/>
          <w:szCs w:val="24"/>
        </w:rPr>
        <w:lastRenderedPageBreak/>
        <w:t>CARL FREDRIK BERGSTRÖM</w:t>
      </w:r>
      <w:r w:rsidR="002778EC">
        <w:rPr>
          <w:rFonts w:asciiTheme="majorHAnsi" w:hAnsiTheme="majorHAnsi"/>
          <w:sz w:val="24"/>
          <w:szCs w:val="24"/>
        </w:rPr>
        <w:tab/>
      </w:r>
    </w:p>
    <w:p w:rsidR="006820AE" w:rsidRDefault="006820AE" w:rsidP="00CF00BF">
      <w:pPr>
        <w:rPr>
          <w:rFonts w:asciiTheme="majorHAnsi" w:hAnsiTheme="majorHAnsi"/>
          <w:b/>
          <w:color w:val="0070C0"/>
          <w:sz w:val="32"/>
          <w:szCs w:val="32"/>
        </w:rPr>
      </w:pPr>
    </w:p>
    <w:p w:rsidR="00041446" w:rsidRPr="00B669A6" w:rsidRDefault="005B78AF" w:rsidP="00CF00BF">
      <w:pPr>
        <w:rPr>
          <w:rFonts w:asciiTheme="majorHAnsi" w:hAnsiTheme="majorHAnsi"/>
          <w:b/>
          <w:color w:val="0070C0"/>
          <w:sz w:val="32"/>
          <w:szCs w:val="32"/>
        </w:rPr>
      </w:pPr>
      <w:r w:rsidRPr="00B669A6">
        <w:rPr>
          <w:rFonts w:asciiTheme="majorHAnsi" w:hAnsiTheme="majorHAnsi"/>
          <w:b/>
          <w:color w:val="0070C0"/>
          <w:sz w:val="32"/>
          <w:szCs w:val="32"/>
        </w:rPr>
        <w:t>FÖRELÄSNING 2</w:t>
      </w:r>
      <w:r w:rsidR="00303CB7" w:rsidRPr="00B669A6">
        <w:rPr>
          <w:rFonts w:asciiTheme="majorHAnsi" w:hAnsiTheme="majorHAnsi"/>
          <w:b/>
          <w:color w:val="0070C0"/>
          <w:sz w:val="32"/>
          <w:szCs w:val="32"/>
        </w:rPr>
        <w:t xml:space="preserve">: </w:t>
      </w:r>
      <w:r w:rsidR="007E0A6D" w:rsidRPr="00B669A6">
        <w:rPr>
          <w:rFonts w:asciiTheme="majorHAnsi" w:hAnsiTheme="majorHAnsi"/>
          <w:b/>
          <w:color w:val="0070C0"/>
          <w:sz w:val="32"/>
          <w:szCs w:val="32"/>
        </w:rPr>
        <w:t>EU-do</w:t>
      </w:r>
      <w:r w:rsidR="003004C9" w:rsidRPr="00B669A6">
        <w:rPr>
          <w:rFonts w:asciiTheme="majorHAnsi" w:hAnsiTheme="majorHAnsi"/>
          <w:b/>
          <w:color w:val="0070C0"/>
          <w:sz w:val="32"/>
          <w:szCs w:val="32"/>
        </w:rPr>
        <w:t>mstolen</w:t>
      </w:r>
      <w:r w:rsidR="00B669A6">
        <w:rPr>
          <w:rFonts w:asciiTheme="majorHAnsi" w:hAnsiTheme="majorHAnsi"/>
          <w:b/>
          <w:color w:val="0070C0"/>
          <w:sz w:val="32"/>
          <w:szCs w:val="32"/>
        </w:rPr>
        <w:t>s process</w:t>
      </w:r>
      <w:r w:rsidR="003004C9" w:rsidRPr="00B669A6">
        <w:rPr>
          <w:rFonts w:asciiTheme="majorHAnsi" w:hAnsiTheme="majorHAnsi"/>
          <w:b/>
          <w:color w:val="0070C0"/>
          <w:sz w:val="32"/>
          <w:szCs w:val="32"/>
        </w:rPr>
        <w:t xml:space="preserve"> och tillämpning</w:t>
      </w:r>
    </w:p>
    <w:p w:rsidR="00303CB7" w:rsidRDefault="00303CB7" w:rsidP="00CF00BF">
      <w:pPr>
        <w:ind w:left="1304" w:firstLine="1304"/>
        <w:rPr>
          <w:rFonts w:asciiTheme="majorHAnsi" w:hAnsiTheme="majorHAnsi"/>
          <w:b/>
          <w:sz w:val="24"/>
          <w:szCs w:val="24"/>
        </w:rPr>
      </w:pPr>
    </w:p>
    <w:p w:rsidR="00041446" w:rsidRPr="00494C21" w:rsidRDefault="00041446" w:rsidP="00CF00BF">
      <w:pPr>
        <w:rPr>
          <w:rFonts w:asciiTheme="majorHAnsi" w:hAnsiTheme="majorHAnsi"/>
          <w:b/>
          <w:color w:val="0070C0"/>
          <w:sz w:val="24"/>
          <w:szCs w:val="24"/>
        </w:rPr>
      </w:pPr>
      <w:r w:rsidRPr="00041446">
        <w:rPr>
          <w:rFonts w:asciiTheme="majorHAnsi" w:hAnsiTheme="majorHAnsi"/>
          <w:b/>
          <w:sz w:val="24"/>
          <w:szCs w:val="24"/>
        </w:rPr>
        <w:t xml:space="preserve">EU-domstolen som institution      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                  </w:t>
      </w:r>
    </w:p>
    <w:p w:rsidR="007021D0" w:rsidRPr="007021D0" w:rsidRDefault="00C108BE" w:rsidP="00CF00BF">
      <w:pPr>
        <w:ind w:firstLine="1304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EU-domst</w:t>
      </w:r>
      <w:r w:rsidR="00041446">
        <w:rPr>
          <w:rFonts w:asciiTheme="majorHAnsi" w:hAnsiTheme="majorHAnsi"/>
          <w:sz w:val="24"/>
          <w:szCs w:val="24"/>
        </w:rPr>
        <w:t>olens uppdrag</w:t>
      </w:r>
      <w:r w:rsidR="007021D0">
        <w:rPr>
          <w:rFonts w:asciiTheme="majorHAnsi" w:hAnsiTheme="majorHAnsi"/>
          <w:sz w:val="24"/>
          <w:szCs w:val="24"/>
        </w:rPr>
        <w:t xml:space="preserve">     </w:t>
      </w:r>
      <w:r w:rsidR="00FB4C74">
        <w:rPr>
          <w:rFonts w:asciiTheme="majorHAnsi" w:hAnsiTheme="majorHAnsi"/>
          <w:sz w:val="24"/>
          <w:szCs w:val="24"/>
        </w:rPr>
        <w:t xml:space="preserve">   </w:t>
      </w:r>
      <w:r w:rsidR="008236A9">
        <w:rPr>
          <w:rFonts w:asciiTheme="majorHAnsi" w:hAnsiTheme="majorHAnsi"/>
          <w:sz w:val="24"/>
          <w:szCs w:val="24"/>
        </w:rPr>
        <w:t xml:space="preserve">       </w:t>
      </w:r>
      <w:r w:rsidR="00513F0E">
        <w:rPr>
          <w:rFonts w:asciiTheme="majorHAnsi" w:hAnsiTheme="majorHAnsi"/>
          <w:sz w:val="24"/>
          <w:szCs w:val="24"/>
        </w:rPr>
        <w:t xml:space="preserve">  </w:t>
      </w:r>
      <w:r w:rsidR="007B48F3">
        <w:rPr>
          <w:rFonts w:asciiTheme="majorHAnsi" w:hAnsiTheme="majorHAnsi"/>
          <w:sz w:val="24"/>
          <w:szCs w:val="24"/>
        </w:rPr>
        <w:tab/>
      </w:r>
      <w:r w:rsidR="00F87361">
        <w:rPr>
          <w:rFonts w:asciiTheme="majorHAnsi" w:hAnsiTheme="majorHAnsi"/>
          <w:sz w:val="24"/>
          <w:szCs w:val="24"/>
        </w:rPr>
        <w:t xml:space="preserve">                  </w:t>
      </w:r>
      <w:r w:rsidRPr="00FB4C74">
        <w:rPr>
          <w:rFonts w:asciiTheme="majorHAnsi" w:hAnsiTheme="majorHAnsi"/>
          <w:color w:val="0070C0"/>
          <w:sz w:val="24"/>
          <w:szCs w:val="24"/>
        </w:rPr>
        <w:t>artikel 19 FEU</w:t>
      </w:r>
      <w:r w:rsidR="007021D0">
        <w:rPr>
          <w:rFonts w:asciiTheme="majorHAnsi" w:hAnsiTheme="majorHAnsi"/>
          <w:color w:val="0070C0"/>
          <w:sz w:val="24"/>
          <w:szCs w:val="24"/>
        </w:rPr>
        <w:t xml:space="preserve"> + p</w:t>
      </w:r>
      <w:r w:rsidR="00041446" w:rsidRPr="00041446">
        <w:rPr>
          <w:rFonts w:asciiTheme="majorHAnsi" w:hAnsiTheme="majorHAnsi"/>
          <w:color w:val="0070C0"/>
          <w:sz w:val="24"/>
          <w:szCs w:val="24"/>
        </w:rPr>
        <w:t>rotokoll</w:t>
      </w:r>
      <w:r w:rsidR="00513F0E">
        <w:rPr>
          <w:rFonts w:asciiTheme="majorHAnsi" w:hAnsiTheme="majorHAnsi"/>
          <w:color w:val="0070C0"/>
          <w:sz w:val="24"/>
          <w:szCs w:val="24"/>
        </w:rPr>
        <w:t xml:space="preserve"> 3</w:t>
      </w:r>
    </w:p>
    <w:p w:rsidR="00C108BE" w:rsidRDefault="00FB4C74" w:rsidP="00F87361">
      <w:pPr>
        <w:ind w:left="1304" w:firstLine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</w:t>
      </w:r>
      <w:r w:rsidR="00C108BE">
        <w:rPr>
          <w:rFonts w:asciiTheme="majorHAnsi" w:hAnsiTheme="majorHAnsi"/>
          <w:sz w:val="24"/>
          <w:szCs w:val="24"/>
        </w:rPr>
        <w:t xml:space="preserve">fr </w:t>
      </w:r>
      <w:r>
        <w:rPr>
          <w:rFonts w:asciiTheme="majorHAnsi" w:hAnsiTheme="majorHAnsi"/>
          <w:sz w:val="24"/>
          <w:szCs w:val="24"/>
        </w:rPr>
        <w:t xml:space="preserve">MS </w:t>
      </w:r>
      <w:r w:rsidR="00C108BE">
        <w:rPr>
          <w:rFonts w:asciiTheme="majorHAnsi" w:hAnsiTheme="majorHAnsi"/>
          <w:sz w:val="24"/>
          <w:szCs w:val="24"/>
        </w:rPr>
        <w:t>författningsdo</w:t>
      </w:r>
      <w:r>
        <w:rPr>
          <w:rFonts w:asciiTheme="majorHAnsi" w:hAnsiTheme="majorHAnsi"/>
          <w:sz w:val="24"/>
          <w:szCs w:val="24"/>
        </w:rPr>
        <w:t xml:space="preserve">mstolar </w:t>
      </w:r>
    </w:p>
    <w:p w:rsidR="007B53AC" w:rsidRPr="007B53AC" w:rsidRDefault="007B53AC" w:rsidP="00CF00BF">
      <w:pPr>
        <w:ind w:firstLine="1304"/>
        <w:rPr>
          <w:rFonts w:asciiTheme="majorHAnsi" w:hAnsiTheme="majorHAnsi"/>
          <w:sz w:val="24"/>
          <w:szCs w:val="24"/>
        </w:rPr>
      </w:pPr>
      <w:r w:rsidRPr="007B53AC">
        <w:rPr>
          <w:rFonts w:asciiTheme="majorHAnsi" w:hAnsiTheme="majorHAnsi"/>
          <w:sz w:val="24"/>
          <w:szCs w:val="24"/>
        </w:rPr>
        <w:t>Rättspraxis som rättskälla</w:t>
      </w:r>
      <w:r w:rsidRPr="007B53AC">
        <w:rPr>
          <w:rFonts w:asciiTheme="majorHAnsi" w:hAnsiTheme="majorHAnsi"/>
          <w:sz w:val="24"/>
          <w:szCs w:val="24"/>
        </w:rPr>
        <w:t xml:space="preserve">: </w:t>
      </w:r>
      <w:r w:rsidRPr="007B53AC">
        <w:rPr>
          <w:rFonts w:asciiTheme="majorHAnsi" w:hAnsiTheme="majorHAnsi"/>
          <w:sz w:val="24"/>
          <w:szCs w:val="24"/>
        </w:rPr>
        <w:t>relativ ställning</w:t>
      </w:r>
    </w:p>
    <w:p w:rsidR="00D80417" w:rsidRPr="007B53AC" w:rsidRDefault="00D80417" w:rsidP="00D80417">
      <w:pPr>
        <w:ind w:firstLine="1304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NB: </w:t>
      </w:r>
      <w:r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omstolen’</w:t>
      </w:r>
      <w:proofErr w:type="gramEnd"/>
      <w:r w:rsidR="00F87361">
        <w:rPr>
          <w:rFonts w:asciiTheme="majorHAnsi" w:hAnsiTheme="majorHAnsi"/>
          <w:sz w:val="24"/>
          <w:szCs w:val="24"/>
        </w:rPr>
        <w:t xml:space="preserve"> och</w:t>
      </w:r>
      <w:r>
        <w:rPr>
          <w:rFonts w:asciiTheme="majorHAnsi" w:hAnsiTheme="majorHAnsi"/>
          <w:sz w:val="24"/>
          <w:szCs w:val="24"/>
        </w:rPr>
        <w:t xml:space="preserve"> ’</w:t>
      </w:r>
      <w:r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ribunalen’</w:t>
      </w:r>
      <w:r>
        <w:rPr>
          <w:rFonts w:asciiTheme="majorHAnsi" w:hAnsiTheme="majorHAnsi"/>
          <w:sz w:val="24"/>
          <w:szCs w:val="24"/>
        </w:rPr>
        <w:tab/>
      </w:r>
      <w:r w:rsidR="00F87361">
        <w:rPr>
          <w:rFonts w:asciiTheme="majorHAnsi" w:hAnsiTheme="majorHAnsi"/>
          <w:sz w:val="24"/>
          <w:szCs w:val="24"/>
        </w:rPr>
        <w:t xml:space="preserve">                                      </w:t>
      </w:r>
      <w:r>
        <w:rPr>
          <w:rFonts w:asciiTheme="majorHAnsi" w:hAnsiTheme="majorHAnsi"/>
          <w:color w:val="0070C0"/>
          <w:sz w:val="24"/>
          <w:szCs w:val="24"/>
        </w:rPr>
        <w:t>artikel 256</w:t>
      </w:r>
      <w:r w:rsidRPr="00D80417">
        <w:rPr>
          <w:rFonts w:asciiTheme="majorHAnsi" w:hAnsiTheme="majorHAnsi"/>
          <w:color w:val="0070C0"/>
          <w:sz w:val="24"/>
          <w:szCs w:val="24"/>
        </w:rPr>
        <w:t xml:space="preserve"> FEUF</w:t>
      </w:r>
    </w:p>
    <w:p w:rsidR="004E133C" w:rsidRDefault="007021D0" w:rsidP="00CF00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EU-rättens p</w:t>
      </w:r>
      <w:r w:rsidR="004E133C" w:rsidRPr="00041446">
        <w:rPr>
          <w:rFonts w:asciiTheme="majorHAnsi" w:hAnsiTheme="majorHAnsi"/>
          <w:b/>
          <w:sz w:val="24"/>
          <w:szCs w:val="24"/>
        </w:rPr>
        <w:t>rocessformer</w:t>
      </w:r>
      <w:r>
        <w:rPr>
          <w:rFonts w:asciiTheme="majorHAnsi" w:hAnsiTheme="majorHAnsi"/>
          <w:b/>
          <w:sz w:val="24"/>
          <w:szCs w:val="24"/>
        </w:rPr>
        <w:t>: analysschema</w:t>
      </w:r>
      <w:r w:rsidR="004E133C">
        <w:rPr>
          <w:rFonts w:asciiTheme="majorHAnsi" w:hAnsiTheme="majorHAnsi"/>
          <w:sz w:val="24"/>
          <w:szCs w:val="24"/>
        </w:rPr>
        <w:t xml:space="preserve"> </w:t>
      </w:r>
      <w:r w:rsidR="00F87361">
        <w:rPr>
          <w:rFonts w:asciiTheme="majorHAnsi" w:hAnsiTheme="majorHAnsi"/>
          <w:sz w:val="24"/>
          <w:szCs w:val="24"/>
        </w:rPr>
        <w:t xml:space="preserve">    </w:t>
      </w:r>
    </w:p>
    <w:p w:rsidR="00873160" w:rsidRPr="00B502D9" w:rsidRDefault="00303CB7" w:rsidP="00CF00BF">
      <w:pPr>
        <w:rPr>
          <w:rFonts w:asciiTheme="majorHAnsi" w:hAnsiTheme="majorHAnsi"/>
          <w:color w:val="0070C0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 w:rsidR="008D7A27" w:rsidRPr="00B502D9">
        <w:rPr>
          <w:rFonts w:asciiTheme="majorHAnsi" w:hAnsiTheme="majorHAnsi"/>
          <w:sz w:val="24"/>
          <w:szCs w:val="24"/>
          <w:u w:val="single"/>
        </w:rPr>
        <w:t>DIREKT PROCESS</w:t>
      </w:r>
    </w:p>
    <w:p w:rsidR="00873160" w:rsidRDefault="00303CB7" w:rsidP="00CF00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73160">
        <w:rPr>
          <w:rFonts w:asciiTheme="majorHAnsi" w:hAnsiTheme="majorHAnsi"/>
          <w:sz w:val="24"/>
          <w:szCs w:val="24"/>
        </w:rPr>
        <w:t xml:space="preserve">Mot EU: </w:t>
      </w:r>
      <w:r w:rsidR="00B63A09">
        <w:rPr>
          <w:rFonts w:asciiTheme="majorHAnsi" w:hAnsiTheme="majorHAnsi"/>
          <w:sz w:val="24"/>
          <w:szCs w:val="24"/>
        </w:rPr>
        <w:t>ogiltighetstalan</w:t>
      </w:r>
      <w:r w:rsidR="00873160">
        <w:rPr>
          <w:rFonts w:asciiTheme="majorHAnsi" w:hAnsiTheme="majorHAnsi"/>
          <w:sz w:val="24"/>
          <w:szCs w:val="24"/>
        </w:rPr>
        <w:t xml:space="preserve">         </w:t>
      </w:r>
      <w:r w:rsidR="00AC3914">
        <w:rPr>
          <w:rFonts w:asciiTheme="majorHAnsi" w:hAnsiTheme="majorHAnsi"/>
          <w:sz w:val="24"/>
          <w:szCs w:val="24"/>
        </w:rPr>
        <w:t xml:space="preserve"> </w:t>
      </w:r>
      <w:r w:rsidR="00873160">
        <w:rPr>
          <w:rFonts w:asciiTheme="majorHAnsi" w:hAnsiTheme="majorHAnsi"/>
          <w:sz w:val="24"/>
          <w:szCs w:val="24"/>
        </w:rPr>
        <w:t xml:space="preserve"> </w:t>
      </w:r>
      <w:r w:rsidR="00AC3914">
        <w:rPr>
          <w:rFonts w:asciiTheme="majorHAnsi" w:hAnsiTheme="majorHAnsi"/>
          <w:sz w:val="24"/>
          <w:szCs w:val="24"/>
        </w:rPr>
        <w:t xml:space="preserve">    </w:t>
      </w:r>
      <w:r w:rsidR="008D7A27">
        <w:rPr>
          <w:rFonts w:asciiTheme="majorHAnsi" w:hAnsiTheme="majorHAnsi"/>
          <w:sz w:val="24"/>
          <w:szCs w:val="24"/>
        </w:rPr>
        <w:tab/>
      </w:r>
      <w:r w:rsidR="00F87361">
        <w:rPr>
          <w:rFonts w:asciiTheme="majorHAnsi" w:hAnsiTheme="majorHAnsi"/>
          <w:sz w:val="24"/>
          <w:szCs w:val="24"/>
        </w:rPr>
        <w:t xml:space="preserve">                            </w:t>
      </w:r>
      <w:r w:rsidR="00873160" w:rsidRPr="00873160">
        <w:rPr>
          <w:rFonts w:asciiTheme="majorHAnsi" w:hAnsiTheme="majorHAnsi"/>
          <w:color w:val="0070C0"/>
          <w:sz w:val="24"/>
          <w:szCs w:val="24"/>
        </w:rPr>
        <w:t>artikel 263</w:t>
      </w:r>
      <w:r w:rsidR="00873160">
        <w:rPr>
          <w:rFonts w:asciiTheme="majorHAnsi" w:hAnsiTheme="majorHAnsi"/>
          <w:color w:val="0070C0"/>
          <w:sz w:val="24"/>
          <w:szCs w:val="24"/>
        </w:rPr>
        <w:t>–</w:t>
      </w:r>
      <w:r w:rsidR="00873160" w:rsidRPr="00873160">
        <w:rPr>
          <w:rFonts w:asciiTheme="majorHAnsi" w:hAnsiTheme="majorHAnsi"/>
          <w:color w:val="0070C0"/>
          <w:sz w:val="24"/>
          <w:szCs w:val="24"/>
        </w:rPr>
        <w:t>265 FEUF</w:t>
      </w:r>
    </w:p>
    <w:p w:rsidR="00FA6E1F" w:rsidRPr="00B502D9" w:rsidRDefault="00303CB7" w:rsidP="00CF00BF">
      <w:pPr>
        <w:rPr>
          <w:rFonts w:asciiTheme="majorHAnsi" w:hAnsiTheme="majorHAnsi"/>
          <w:color w:val="0070C0"/>
          <w:sz w:val="24"/>
          <w:szCs w:val="24"/>
        </w:rPr>
      </w:pPr>
      <w:r w:rsidRPr="00B63A09">
        <w:rPr>
          <w:rFonts w:asciiTheme="majorHAnsi" w:hAnsiTheme="majorHAnsi"/>
          <w:sz w:val="24"/>
          <w:szCs w:val="24"/>
        </w:rPr>
        <w:tab/>
      </w:r>
      <w:r w:rsidR="008D7A27" w:rsidRPr="00B63A09">
        <w:rPr>
          <w:rFonts w:asciiTheme="majorHAnsi" w:hAnsiTheme="majorHAnsi"/>
          <w:color w:val="0070C0"/>
          <w:sz w:val="24"/>
          <w:szCs w:val="24"/>
        </w:rPr>
        <w:tab/>
      </w:r>
      <w:r w:rsidR="008D7A27" w:rsidRPr="00B63A09">
        <w:rPr>
          <w:rFonts w:asciiTheme="majorHAnsi" w:hAnsiTheme="majorHAnsi"/>
          <w:sz w:val="24"/>
          <w:szCs w:val="24"/>
        </w:rPr>
        <w:t>EXEMPEL</w:t>
      </w:r>
      <w:r w:rsidR="00F87361" w:rsidRPr="00B63A09">
        <w:rPr>
          <w:rFonts w:asciiTheme="majorHAnsi" w:hAnsiTheme="majorHAnsi"/>
          <w:color w:val="0070C0"/>
          <w:sz w:val="24"/>
          <w:szCs w:val="24"/>
        </w:rPr>
        <w:t>:</w:t>
      </w:r>
      <w:r w:rsidR="008A1B99" w:rsidRPr="00B63A09">
        <w:rPr>
          <w:rFonts w:asciiTheme="majorHAnsi" w:hAnsiTheme="majorHAnsi"/>
          <w:color w:val="0070C0"/>
          <w:sz w:val="24"/>
          <w:szCs w:val="24"/>
        </w:rPr>
        <w:t xml:space="preserve"> </w:t>
      </w:r>
      <w:r w:rsidR="00B63A09" w:rsidRPr="00B502D9">
        <w:rPr>
          <w:rFonts w:asciiTheme="majorHAnsi" w:hAnsiTheme="majorHAnsi"/>
          <w:color w:val="0070C0"/>
          <w:sz w:val="24"/>
          <w:szCs w:val="24"/>
        </w:rPr>
        <w:t xml:space="preserve">mål </w:t>
      </w:r>
      <w:r w:rsidR="00B502D9" w:rsidRPr="00B502D9">
        <w:rPr>
          <w:rFonts w:asciiTheme="majorHAnsi" w:hAnsiTheme="majorHAnsi" w:cs="Arial"/>
          <w:color w:val="0070C0"/>
          <w:sz w:val="24"/>
          <w:szCs w:val="24"/>
        </w:rPr>
        <w:t>C</w:t>
      </w:r>
      <w:r w:rsidR="00B502D9" w:rsidRPr="00B502D9">
        <w:rPr>
          <w:rFonts w:asciiTheme="majorHAnsi" w:hAnsiTheme="majorHAnsi" w:cs="Arial"/>
          <w:color w:val="0070C0"/>
          <w:sz w:val="24"/>
          <w:szCs w:val="24"/>
        </w:rPr>
        <w:noBreakHyphen/>
        <w:t>402/05 P</w:t>
      </w:r>
      <w:r w:rsidR="00B502D9" w:rsidRPr="00B502D9">
        <w:rPr>
          <w:rFonts w:asciiTheme="majorHAnsi" w:hAnsiTheme="majorHAnsi" w:cs="Arial"/>
          <w:color w:val="0070C0"/>
          <w:sz w:val="24"/>
          <w:szCs w:val="24"/>
        </w:rPr>
        <w:t xml:space="preserve"> och </w:t>
      </w:r>
      <w:r w:rsidR="00B63A09" w:rsidRPr="00B502D9">
        <w:rPr>
          <w:rFonts w:asciiTheme="majorHAnsi" w:hAnsiTheme="majorHAnsi"/>
          <w:color w:val="0070C0"/>
          <w:sz w:val="24"/>
          <w:szCs w:val="24"/>
        </w:rPr>
        <w:t>C</w:t>
      </w:r>
      <w:r w:rsidR="00B63A09" w:rsidRPr="00B502D9">
        <w:rPr>
          <w:rFonts w:asciiTheme="majorHAnsi" w:hAnsiTheme="majorHAnsi" w:cs="Cambria Math"/>
          <w:color w:val="0070C0"/>
          <w:sz w:val="24"/>
          <w:szCs w:val="24"/>
        </w:rPr>
        <w:t>‑</w:t>
      </w:r>
      <w:r w:rsidR="00B63A09" w:rsidRPr="00B502D9">
        <w:rPr>
          <w:rFonts w:asciiTheme="majorHAnsi" w:hAnsiTheme="majorHAnsi"/>
          <w:color w:val="0070C0"/>
          <w:sz w:val="24"/>
          <w:szCs w:val="24"/>
        </w:rPr>
        <w:t>415/05 P</w:t>
      </w:r>
    </w:p>
    <w:p w:rsidR="00873160" w:rsidRDefault="00873160" w:rsidP="00CF00BF">
      <w:pPr>
        <w:ind w:firstLine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 MS: fördragsbrott</w:t>
      </w:r>
      <w:r w:rsidR="00B63A09">
        <w:rPr>
          <w:rFonts w:asciiTheme="majorHAnsi" w:hAnsiTheme="majorHAnsi"/>
          <w:sz w:val="24"/>
          <w:szCs w:val="24"/>
        </w:rPr>
        <w:t>stalan</w:t>
      </w:r>
      <w:r w:rsidR="00AC3914">
        <w:rPr>
          <w:rFonts w:asciiTheme="majorHAnsi" w:hAnsiTheme="majorHAnsi"/>
          <w:sz w:val="24"/>
          <w:szCs w:val="24"/>
        </w:rPr>
        <w:t xml:space="preserve"> </w:t>
      </w:r>
      <w:r w:rsidR="00B63A09">
        <w:rPr>
          <w:rFonts w:asciiTheme="majorHAnsi" w:hAnsiTheme="majorHAnsi"/>
          <w:sz w:val="24"/>
          <w:szCs w:val="24"/>
        </w:rPr>
        <w:t xml:space="preserve"> </w:t>
      </w:r>
      <w:r w:rsidR="008D7A27">
        <w:rPr>
          <w:rFonts w:asciiTheme="majorHAnsi" w:hAnsiTheme="majorHAnsi"/>
          <w:sz w:val="24"/>
          <w:szCs w:val="24"/>
        </w:rPr>
        <w:tab/>
      </w:r>
      <w:r w:rsidR="00F87361">
        <w:rPr>
          <w:rFonts w:asciiTheme="majorHAnsi" w:hAnsiTheme="majorHAnsi"/>
          <w:sz w:val="24"/>
          <w:szCs w:val="24"/>
        </w:rPr>
        <w:t xml:space="preserve">                            </w:t>
      </w:r>
      <w:r w:rsidRPr="00873160">
        <w:rPr>
          <w:rFonts w:asciiTheme="majorHAnsi" w:hAnsiTheme="majorHAnsi"/>
          <w:color w:val="0070C0"/>
          <w:sz w:val="24"/>
          <w:szCs w:val="24"/>
        </w:rPr>
        <w:t>artikel 158–260 FEUF</w:t>
      </w:r>
    </w:p>
    <w:p w:rsidR="00FA6E1F" w:rsidRDefault="00B63A09" w:rsidP="00CF00BF">
      <w:pPr>
        <w:ind w:firstLine="1304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ab/>
      </w:r>
      <w:r w:rsidR="008D7A27" w:rsidRPr="00B63A09">
        <w:rPr>
          <w:rFonts w:asciiTheme="majorHAnsi" w:hAnsiTheme="majorHAnsi"/>
          <w:sz w:val="24"/>
          <w:szCs w:val="24"/>
        </w:rPr>
        <w:t>EXEMPEL</w:t>
      </w:r>
      <w:r w:rsidR="00F87361" w:rsidRPr="00B63A09">
        <w:rPr>
          <w:rFonts w:asciiTheme="majorHAnsi" w:hAnsiTheme="majorHAnsi"/>
          <w:sz w:val="24"/>
          <w:szCs w:val="24"/>
        </w:rPr>
        <w:t>:</w:t>
      </w:r>
      <w:r w:rsidR="008A1B99">
        <w:rPr>
          <w:rFonts w:asciiTheme="majorHAnsi" w:hAnsiTheme="majorHAnsi"/>
          <w:color w:val="0070C0"/>
          <w:sz w:val="24"/>
          <w:szCs w:val="24"/>
        </w:rPr>
        <w:t xml:space="preserve"> </w:t>
      </w:r>
      <w:r w:rsidR="008A1B99" w:rsidRPr="008A1B99">
        <w:rPr>
          <w:rFonts w:asciiTheme="majorHAnsi" w:hAnsiTheme="majorHAnsi"/>
          <w:color w:val="0070C0"/>
          <w:sz w:val="24"/>
          <w:szCs w:val="24"/>
        </w:rPr>
        <w:t>mål C‑791/19</w:t>
      </w:r>
    </w:p>
    <w:p w:rsidR="00873160" w:rsidRPr="00B502D9" w:rsidRDefault="008D7A27" w:rsidP="00CF00BF">
      <w:pPr>
        <w:ind w:firstLine="1304"/>
        <w:rPr>
          <w:rFonts w:asciiTheme="majorHAnsi" w:hAnsiTheme="majorHAnsi"/>
          <w:sz w:val="24"/>
          <w:szCs w:val="24"/>
          <w:u w:val="single"/>
        </w:rPr>
      </w:pPr>
      <w:r w:rsidRPr="00B502D9">
        <w:rPr>
          <w:rFonts w:asciiTheme="majorHAnsi" w:hAnsiTheme="majorHAnsi"/>
          <w:sz w:val="24"/>
          <w:szCs w:val="24"/>
          <w:u w:val="single"/>
        </w:rPr>
        <w:t>INDIREKT PROCESS</w:t>
      </w:r>
    </w:p>
    <w:p w:rsidR="00873160" w:rsidRDefault="00873160" w:rsidP="00CF00BF">
      <w:pPr>
        <w:ind w:firstLine="1304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Förhandsavgörande                 </w:t>
      </w:r>
      <w:r w:rsidR="00AC3914">
        <w:rPr>
          <w:rFonts w:asciiTheme="majorHAnsi" w:hAnsiTheme="majorHAnsi"/>
          <w:sz w:val="24"/>
          <w:szCs w:val="24"/>
        </w:rPr>
        <w:t xml:space="preserve">    </w:t>
      </w:r>
      <w:r w:rsidR="008D7A27">
        <w:rPr>
          <w:rFonts w:asciiTheme="majorHAnsi" w:hAnsiTheme="majorHAnsi"/>
          <w:sz w:val="24"/>
          <w:szCs w:val="24"/>
        </w:rPr>
        <w:tab/>
      </w:r>
      <w:r w:rsidR="00F87361">
        <w:rPr>
          <w:rFonts w:asciiTheme="majorHAnsi" w:hAnsiTheme="majorHAnsi"/>
          <w:sz w:val="24"/>
          <w:szCs w:val="24"/>
        </w:rPr>
        <w:t xml:space="preserve">                                      </w:t>
      </w:r>
      <w:r w:rsidRPr="00873160">
        <w:rPr>
          <w:rFonts w:asciiTheme="majorHAnsi" w:hAnsiTheme="majorHAnsi"/>
          <w:color w:val="0070C0"/>
          <w:sz w:val="24"/>
          <w:szCs w:val="24"/>
        </w:rPr>
        <w:t>artikel 267 FEUF</w:t>
      </w:r>
    </w:p>
    <w:p w:rsidR="00FA6E1F" w:rsidRPr="00FA6E1F" w:rsidRDefault="00B63A09" w:rsidP="00CF00BF">
      <w:pPr>
        <w:ind w:firstLine="1304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tab/>
      </w:r>
      <w:r w:rsidR="008D7A27" w:rsidRPr="00B63A09">
        <w:rPr>
          <w:rFonts w:asciiTheme="majorHAnsi" w:hAnsiTheme="majorHAnsi"/>
          <w:sz w:val="24"/>
          <w:szCs w:val="24"/>
        </w:rPr>
        <w:t>EXEMPEL</w:t>
      </w:r>
      <w:r w:rsidR="00F87361" w:rsidRPr="00B63A09">
        <w:rPr>
          <w:rFonts w:asciiTheme="majorHAnsi" w:hAnsiTheme="majorHAnsi"/>
          <w:sz w:val="24"/>
          <w:szCs w:val="24"/>
        </w:rPr>
        <w:t>:</w:t>
      </w:r>
      <w:r w:rsidRPr="00B63A09">
        <w:rPr>
          <w:rFonts w:asciiTheme="majorHAnsi" w:hAnsiTheme="majorHAnsi"/>
          <w:sz w:val="24"/>
          <w:szCs w:val="24"/>
        </w:rPr>
        <w:t xml:space="preserve"> </w:t>
      </w:r>
      <w:r w:rsidRPr="00B63A09">
        <w:rPr>
          <w:rFonts w:asciiTheme="majorHAnsi" w:hAnsiTheme="majorHAnsi"/>
          <w:color w:val="0070C0"/>
          <w:sz w:val="24"/>
          <w:szCs w:val="24"/>
        </w:rPr>
        <w:t>mål C‑617/10</w:t>
      </w:r>
    </w:p>
    <w:p w:rsidR="004E133C" w:rsidRDefault="00043C50" w:rsidP="00CF00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EU-rättens genomslag</w:t>
      </w:r>
      <w:r w:rsidR="004E133C" w:rsidRPr="00574022">
        <w:rPr>
          <w:rFonts w:asciiTheme="majorHAnsi" w:hAnsiTheme="majorHAnsi"/>
          <w:b/>
          <w:sz w:val="24"/>
          <w:szCs w:val="24"/>
        </w:rPr>
        <w:t xml:space="preserve"> </w:t>
      </w:r>
      <w:r w:rsidR="00574022" w:rsidRPr="00574022">
        <w:rPr>
          <w:rFonts w:asciiTheme="majorHAnsi" w:hAnsiTheme="majorHAnsi"/>
          <w:b/>
          <w:sz w:val="24"/>
          <w:szCs w:val="24"/>
        </w:rPr>
        <w:t>i medlemsstaterna</w:t>
      </w:r>
    </w:p>
    <w:p w:rsidR="00873160" w:rsidRDefault="00873160" w:rsidP="00CF00BF">
      <w:pPr>
        <w:ind w:left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Principen </w:t>
      </w:r>
      <w:r w:rsidR="00303CB7">
        <w:rPr>
          <w:rFonts w:asciiTheme="majorHAnsi" w:hAnsiTheme="majorHAnsi"/>
          <w:sz w:val="24"/>
          <w:szCs w:val="24"/>
        </w:rPr>
        <w:t xml:space="preserve">om </w:t>
      </w:r>
      <w:r>
        <w:rPr>
          <w:rFonts w:asciiTheme="majorHAnsi" w:hAnsiTheme="majorHAnsi"/>
          <w:sz w:val="24"/>
          <w:szCs w:val="24"/>
        </w:rPr>
        <w:t>företräde</w:t>
      </w:r>
      <w:r w:rsidR="00574022">
        <w:rPr>
          <w:rFonts w:asciiTheme="majorHAnsi" w:hAnsiTheme="majorHAnsi"/>
          <w:sz w:val="24"/>
          <w:szCs w:val="24"/>
        </w:rPr>
        <w:tab/>
      </w:r>
      <w:r w:rsidR="00574022">
        <w:rPr>
          <w:rFonts w:asciiTheme="majorHAnsi" w:hAnsiTheme="majorHAnsi"/>
          <w:sz w:val="24"/>
          <w:szCs w:val="24"/>
        </w:rPr>
        <w:tab/>
      </w:r>
      <w:r w:rsidR="00F87361">
        <w:rPr>
          <w:rFonts w:asciiTheme="majorHAnsi" w:hAnsiTheme="majorHAnsi"/>
          <w:sz w:val="24"/>
          <w:szCs w:val="24"/>
        </w:rPr>
        <w:t xml:space="preserve">                 </w:t>
      </w:r>
      <w:r w:rsidR="00574022" w:rsidRPr="00F93E75">
        <w:rPr>
          <w:rFonts w:asciiTheme="majorHAnsi" w:hAnsiTheme="majorHAnsi"/>
          <w:color w:val="0070C0"/>
          <w:sz w:val="24"/>
          <w:szCs w:val="24"/>
        </w:rPr>
        <w:t>rättspraxis (</w:t>
      </w:r>
      <w:r w:rsidR="00F87361">
        <w:rPr>
          <w:rFonts w:asciiTheme="majorHAnsi" w:hAnsiTheme="majorHAnsi"/>
          <w:color w:val="0070C0"/>
          <w:sz w:val="24"/>
          <w:szCs w:val="24"/>
        </w:rPr>
        <w:t>mål</w:t>
      </w:r>
      <w:r w:rsidR="00574022">
        <w:rPr>
          <w:rFonts w:asciiTheme="majorHAnsi" w:hAnsiTheme="majorHAnsi"/>
          <w:color w:val="0070C0"/>
          <w:sz w:val="24"/>
          <w:szCs w:val="24"/>
        </w:rPr>
        <w:t xml:space="preserve"> </w:t>
      </w:r>
      <w:r w:rsidR="00574022" w:rsidRPr="00F93E75">
        <w:rPr>
          <w:rFonts w:asciiTheme="majorHAnsi" w:hAnsiTheme="majorHAnsi"/>
          <w:color w:val="0070C0"/>
          <w:sz w:val="24"/>
          <w:szCs w:val="24"/>
        </w:rPr>
        <w:t>C‑205/20</w:t>
      </w:r>
      <w:r w:rsidR="00574022">
        <w:rPr>
          <w:rFonts w:asciiTheme="majorHAnsi" w:hAnsiTheme="majorHAnsi"/>
          <w:color w:val="0070C0"/>
          <w:sz w:val="24"/>
          <w:szCs w:val="24"/>
        </w:rPr>
        <w:t>)</w:t>
      </w:r>
    </w:p>
    <w:p w:rsidR="007021D0" w:rsidRDefault="00303CB7" w:rsidP="00CF00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C65CF">
        <w:rPr>
          <w:rFonts w:asciiTheme="majorHAnsi" w:hAnsiTheme="majorHAnsi"/>
          <w:sz w:val="24"/>
          <w:szCs w:val="24"/>
        </w:rPr>
        <w:t>K</w:t>
      </w:r>
      <w:r w:rsidR="007021D0" w:rsidRPr="007021D0">
        <w:rPr>
          <w:rFonts w:asciiTheme="majorHAnsi" w:hAnsiTheme="majorHAnsi"/>
          <w:sz w:val="24"/>
          <w:szCs w:val="24"/>
        </w:rPr>
        <w:t>rav på konform tolkning</w:t>
      </w:r>
      <w:r w:rsidR="00F87361">
        <w:rPr>
          <w:rFonts w:asciiTheme="majorHAnsi" w:hAnsiTheme="majorHAnsi"/>
          <w:sz w:val="24"/>
          <w:szCs w:val="24"/>
        </w:rPr>
        <w:tab/>
        <w:t xml:space="preserve">                 </w:t>
      </w:r>
      <w:r w:rsidR="00F87361" w:rsidRPr="00F93E75">
        <w:rPr>
          <w:rFonts w:asciiTheme="majorHAnsi" w:hAnsiTheme="majorHAnsi"/>
          <w:color w:val="0070C0"/>
          <w:sz w:val="24"/>
          <w:szCs w:val="24"/>
        </w:rPr>
        <w:t>rättspraxis (mål C‑205/20)</w:t>
      </w:r>
    </w:p>
    <w:p w:rsidR="00303CB7" w:rsidRDefault="00303CB7" w:rsidP="00CF00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AC65CF">
        <w:rPr>
          <w:rFonts w:asciiTheme="majorHAnsi" w:hAnsiTheme="majorHAnsi"/>
          <w:sz w:val="24"/>
          <w:szCs w:val="24"/>
        </w:rPr>
        <w:t>K</w:t>
      </w:r>
      <w:r w:rsidR="007021D0">
        <w:rPr>
          <w:rFonts w:asciiTheme="majorHAnsi" w:hAnsiTheme="majorHAnsi"/>
          <w:sz w:val="24"/>
          <w:szCs w:val="24"/>
        </w:rPr>
        <w:t xml:space="preserve">rav på </w:t>
      </w:r>
      <w:r w:rsidR="00873160">
        <w:rPr>
          <w:rFonts w:asciiTheme="majorHAnsi" w:hAnsiTheme="majorHAnsi"/>
          <w:sz w:val="24"/>
          <w:szCs w:val="24"/>
        </w:rPr>
        <w:t>direkt effekt</w:t>
      </w:r>
      <w:r w:rsidR="00C7171E">
        <w:rPr>
          <w:rFonts w:asciiTheme="majorHAnsi" w:hAnsiTheme="majorHAnsi"/>
          <w:sz w:val="24"/>
          <w:szCs w:val="24"/>
        </w:rPr>
        <w:tab/>
        <w:t xml:space="preserve">        </w:t>
      </w:r>
      <w:r w:rsidR="00D84886">
        <w:rPr>
          <w:rFonts w:asciiTheme="majorHAnsi" w:hAnsiTheme="majorHAnsi"/>
          <w:sz w:val="24"/>
          <w:szCs w:val="24"/>
        </w:rPr>
        <w:t xml:space="preserve"> </w:t>
      </w:r>
      <w:r w:rsidR="00C7171E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 w:rsidR="00F87361">
        <w:rPr>
          <w:rFonts w:asciiTheme="majorHAnsi" w:hAnsiTheme="majorHAnsi"/>
          <w:sz w:val="24"/>
          <w:szCs w:val="24"/>
        </w:rPr>
        <w:t xml:space="preserve">                 </w:t>
      </w:r>
      <w:r w:rsidR="00C7171E" w:rsidRPr="00F93E75">
        <w:rPr>
          <w:rFonts w:asciiTheme="majorHAnsi" w:hAnsiTheme="majorHAnsi"/>
          <w:color w:val="0070C0"/>
          <w:sz w:val="24"/>
          <w:szCs w:val="24"/>
        </w:rPr>
        <w:t>rättspraxis (mål C‑205/20)</w:t>
      </w:r>
    </w:p>
    <w:p w:rsidR="00B669A6" w:rsidRDefault="00AC65CF" w:rsidP="00400D72">
      <w:pPr>
        <w:ind w:firstLine="130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7021D0">
        <w:rPr>
          <w:rFonts w:asciiTheme="majorHAnsi" w:hAnsiTheme="majorHAnsi"/>
          <w:sz w:val="24"/>
          <w:szCs w:val="24"/>
        </w:rPr>
        <w:t>rav på</w:t>
      </w:r>
      <w:r w:rsidR="00873160">
        <w:rPr>
          <w:rFonts w:asciiTheme="majorHAnsi" w:hAnsiTheme="majorHAnsi"/>
          <w:sz w:val="24"/>
          <w:szCs w:val="24"/>
        </w:rPr>
        <w:t xml:space="preserve"> skadeståndsansvar</w:t>
      </w:r>
      <w:r w:rsidR="001E5BB7" w:rsidRPr="001E5BB7">
        <w:rPr>
          <w:rFonts w:asciiTheme="majorHAnsi" w:hAnsiTheme="majorHAnsi"/>
          <w:sz w:val="24"/>
          <w:szCs w:val="24"/>
        </w:rPr>
        <w:t xml:space="preserve">         </w:t>
      </w:r>
      <w:r w:rsidR="00D84886">
        <w:rPr>
          <w:rFonts w:asciiTheme="majorHAnsi" w:hAnsiTheme="majorHAnsi"/>
          <w:sz w:val="24"/>
          <w:szCs w:val="24"/>
        </w:rPr>
        <w:t xml:space="preserve">    </w:t>
      </w:r>
      <w:r w:rsidR="001E5BB7" w:rsidRPr="001E5BB7">
        <w:rPr>
          <w:rFonts w:asciiTheme="majorHAnsi" w:hAnsiTheme="majorHAnsi"/>
          <w:sz w:val="24"/>
          <w:szCs w:val="24"/>
        </w:rPr>
        <w:t xml:space="preserve">    </w:t>
      </w:r>
      <w:r w:rsidR="00303CB7">
        <w:rPr>
          <w:rFonts w:asciiTheme="majorHAnsi" w:hAnsiTheme="majorHAnsi"/>
          <w:sz w:val="24"/>
          <w:szCs w:val="24"/>
        </w:rPr>
        <w:tab/>
      </w:r>
      <w:r w:rsidR="00F87361">
        <w:rPr>
          <w:rFonts w:asciiTheme="majorHAnsi" w:hAnsiTheme="majorHAnsi"/>
          <w:sz w:val="24"/>
          <w:szCs w:val="24"/>
        </w:rPr>
        <w:t xml:space="preserve">                 </w:t>
      </w:r>
      <w:r w:rsidR="001E5BB7" w:rsidRPr="001E5BB7">
        <w:rPr>
          <w:rFonts w:asciiTheme="majorHAnsi" w:hAnsiTheme="majorHAnsi"/>
          <w:color w:val="0070C0"/>
          <w:sz w:val="24"/>
          <w:szCs w:val="24"/>
        </w:rPr>
        <w:t>rättspraxis (mål C‑</w:t>
      </w:r>
      <w:r w:rsidR="00F87361">
        <w:rPr>
          <w:rFonts w:asciiTheme="majorHAnsi" w:hAnsiTheme="majorHAnsi"/>
          <w:color w:val="0070C0"/>
          <w:sz w:val="24"/>
          <w:szCs w:val="24"/>
        </w:rPr>
        <w:t>0</w:t>
      </w:r>
      <w:r w:rsidR="001E5BB7" w:rsidRPr="001E5BB7">
        <w:rPr>
          <w:rFonts w:asciiTheme="majorHAnsi" w:hAnsiTheme="majorHAnsi"/>
          <w:color w:val="0070C0"/>
          <w:sz w:val="24"/>
          <w:szCs w:val="24"/>
        </w:rPr>
        <w:t>61/21)</w:t>
      </w:r>
    </w:p>
    <w:p w:rsidR="00546FE9" w:rsidRPr="00B669A6" w:rsidRDefault="0080787C" w:rsidP="00CF00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EU-domstolens tolkningsmetod</w:t>
      </w:r>
      <w:r w:rsidR="00AC3914" w:rsidRPr="00041446">
        <w:rPr>
          <w:rFonts w:asciiTheme="majorHAnsi" w:hAnsiTheme="majorHAnsi"/>
          <w:b/>
          <w:sz w:val="24"/>
          <w:szCs w:val="24"/>
        </w:rPr>
        <w:t xml:space="preserve">  </w:t>
      </w:r>
      <w:r w:rsidR="00AC3914">
        <w:rPr>
          <w:rFonts w:asciiTheme="majorHAnsi" w:hAnsiTheme="majorHAnsi"/>
          <w:sz w:val="24"/>
          <w:szCs w:val="24"/>
        </w:rPr>
        <w:t xml:space="preserve">  </w:t>
      </w:r>
      <w:r w:rsidR="00F87361">
        <w:rPr>
          <w:rFonts w:asciiTheme="majorHAnsi" w:hAnsiTheme="majorHAnsi"/>
          <w:sz w:val="24"/>
          <w:szCs w:val="24"/>
        </w:rPr>
        <w:t xml:space="preserve">       </w:t>
      </w:r>
      <w:r w:rsidR="00F87361">
        <w:rPr>
          <w:rFonts w:asciiTheme="majorHAnsi" w:hAnsiTheme="majorHAnsi"/>
          <w:sz w:val="24"/>
          <w:szCs w:val="24"/>
        </w:rPr>
        <w:tab/>
        <w:t xml:space="preserve">                 </w:t>
      </w:r>
      <w:r w:rsidR="00546FE9" w:rsidRPr="00546FE9">
        <w:rPr>
          <w:rFonts w:asciiTheme="majorHAnsi" w:hAnsiTheme="majorHAnsi"/>
          <w:color w:val="0070C0"/>
          <w:sz w:val="24"/>
          <w:szCs w:val="24"/>
        </w:rPr>
        <w:t>rättspraxis</w:t>
      </w:r>
      <w:r w:rsidR="00400D72">
        <w:rPr>
          <w:rFonts w:asciiTheme="majorHAnsi" w:hAnsiTheme="majorHAnsi"/>
          <w:color w:val="0070C0"/>
          <w:sz w:val="24"/>
          <w:szCs w:val="24"/>
        </w:rPr>
        <w:t xml:space="preserve"> </w:t>
      </w:r>
      <w:r w:rsidR="00546FE9" w:rsidRPr="00546FE9">
        <w:rPr>
          <w:rFonts w:asciiTheme="majorHAnsi" w:hAnsiTheme="majorHAnsi"/>
          <w:color w:val="0070C0"/>
          <w:sz w:val="24"/>
          <w:szCs w:val="24"/>
        </w:rPr>
        <w:t>(mål C-621/18)</w:t>
      </w:r>
    </w:p>
    <w:p w:rsidR="00254CCF" w:rsidRDefault="00F87361" w:rsidP="00C90E26">
      <w:pPr>
        <w:ind w:firstLine="1304"/>
        <w:rPr>
          <w:rFonts w:asciiTheme="majorHAnsi" w:hAnsiTheme="majorHAnsi"/>
          <w:color w:val="0070C0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NB: ’stor avdelning ’</w:t>
      </w:r>
      <w:r>
        <w:rPr>
          <w:rFonts w:asciiTheme="majorHAnsi" w:hAnsiTheme="majorHAnsi"/>
          <w:sz w:val="24"/>
          <w:szCs w:val="24"/>
        </w:rPr>
        <w:t xml:space="preserve"> och ’</w:t>
      </w:r>
      <w:r>
        <w:rPr>
          <w:rFonts w:asciiTheme="majorHAnsi" w:hAnsiTheme="majorHAnsi"/>
          <w:sz w:val="24"/>
          <w:szCs w:val="24"/>
        </w:rPr>
        <w:t>generaladvokat</w:t>
      </w:r>
      <w:r>
        <w:rPr>
          <w:rFonts w:asciiTheme="majorHAnsi" w:hAnsiTheme="majorHAnsi"/>
          <w:sz w:val="24"/>
          <w:szCs w:val="24"/>
        </w:rPr>
        <w:t>’</w:t>
      </w:r>
      <w:proofErr w:type="gramEnd"/>
      <w:r>
        <w:rPr>
          <w:rFonts w:asciiTheme="majorHAnsi" w:hAnsiTheme="majorHAnsi"/>
          <w:sz w:val="24"/>
          <w:szCs w:val="24"/>
        </w:rPr>
        <w:t xml:space="preserve">                     </w:t>
      </w:r>
      <w:r w:rsidRPr="00D80417">
        <w:rPr>
          <w:rFonts w:asciiTheme="majorHAnsi" w:hAnsiTheme="majorHAnsi"/>
          <w:color w:val="0070C0"/>
          <w:sz w:val="24"/>
          <w:szCs w:val="24"/>
        </w:rPr>
        <w:t>artikel 251–252 FEUF</w:t>
      </w:r>
    </w:p>
    <w:p w:rsidR="00C90E26" w:rsidRDefault="00C90E26" w:rsidP="00C90E26">
      <w:pPr>
        <w:ind w:firstLine="1304"/>
        <w:rPr>
          <w:rFonts w:asciiTheme="majorHAnsi" w:hAnsiTheme="majorHAnsi"/>
          <w:sz w:val="24"/>
          <w:szCs w:val="24"/>
        </w:rPr>
      </w:pPr>
    </w:p>
    <w:p w:rsidR="004E21A2" w:rsidRPr="00B669A6" w:rsidRDefault="004E21A2" w:rsidP="00C24490">
      <w:pPr>
        <w:rPr>
          <w:rFonts w:asciiTheme="majorHAnsi" w:hAnsiTheme="majorHAnsi"/>
          <w:sz w:val="24"/>
          <w:szCs w:val="24"/>
        </w:rPr>
      </w:pPr>
      <w:r w:rsidRPr="00822070">
        <w:rPr>
          <w:rFonts w:asciiTheme="majorHAnsi" w:hAnsiTheme="majorHAnsi"/>
          <w:sz w:val="24"/>
          <w:szCs w:val="24"/>
        </w:rPr>
        <w:lastRenderedPageBreak/>
        <w:drawing>
          <wp:inline distT="0" distB="0" distL="0" distR="0" wp14:anchorId="389421B2" wp14:editId="25DD8CB9">
            <wp:extent cx="6038221" cy="6096000"/>
            <wp:effectExtent l="0" t="0" r="63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4953" cy="610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26" w:rsidRDefault="00C90E26" w:rsidP="00C90E26">
      <w:pPr>
        <w:jc w:val="both"/>
        <w:rPr>
          <w:rFonts w:asciiTheme="majorHAnsi" w:hAnsiTheme="majorHAnsi"/>
          <w:b/>
          <w:sz w:val="24"/>
          <w:szCs w:val="24"/>
        </w:rPr>
      </w:pPr>
    </w:p>
    <w:p w:rsidR="003004BF" w:rsidRPr="005D63E4" w:rsidRDefault="003004BF" w:rsidP="00C90E26">
      <w:pPr>
        <w:jc w:val="both"/>
        <w:rPr>
          <w:rFonts w:asciiTheme="majorHAnsi" w:hAnsiTheme="majorHAnsi"/>
          <w:i/>
          <w:sz w:val="24"/>
          <w:szCs w:val="24"/>
        </w:rPr>
      </w:pPr>
      <w:r w:rsidRPr="005D63E4">
        <w:rPr>
          <w:rFonts w:asciiTheme="majorHAnsi" w:hAnsiTheme="majorHAnsi"/>
          <w:i/>
          <w:sz w:val="24"/>
          <w:szCs w:val="24"/>
        </w:rPr>
        <w:t xml:space="preserve">I den folkomröstning som hölls i Förenade kungariket 2016 röstade en majoritet för att denna medlemsstat skulle lämna </w:t>
      </w:r>
      <w:r w:rsidR="00822070" w:rsidRPr="005D63E4">
        <w:rPr>
          <w:rFonts w:asciiTheme="majorHAnsi" w:hAnsiTheme="majorHAnsi"/>
          <w:i/>
          <w:sz w:val="24"/>
          <w:szCs w:val="24"/>
        </w:rPr>
        <w:t>EU. Ett år senare</w:t>
      </w:r>
      <w:r w:rsidRPr="005D63E4">
        <w:rPr>
          <w:rFonts w:asciiTheme="majorHAnsi" w:hAnsiTheme="majorHAnsi"/>
          <w:i/>
          <w:sz w:val="24"/>
          <w:szCs w:val="24"/>
        </w:rPr>
        <w:t xml:space="preserve"> anmälde </w:t>
      </w:r>
      <w:r w:rsidR="006F3EF6" w:rsidRPr="005D63E4">
        <w:rPr>
          <w:rFonts w:asciiTheme="majorHAnsi" w:hAnsiTheme="majorHAnsi"/>
          <w:i/>
          <w:sz w:val="24"/>
          <w:szCs w:val="24"/>
        </w:rPr>
        <w:t xml:space="preserve">premiärministern </w:t>
      </w:r>
      <w:r w:rsidRPr="005D63E4">
        <w:rPr>
          <w:rFonts w:asciiTheme="majorHAnsi" w:hAnsiTheme="majorHAnsi"/>
          <w:i/>
          <w:sz w:val="24"/>
          <w:szCs w:val="24"/>
        </w:rPr>
        <w:t>att Förenade kungariket avsåg att utträda ur unionen med</w:t>
      </w:r>
      <w:r w:rsidRPr="005D63E4">
        <w:rPr>
          <w:rFonts w:asciiTheme="majorHAnsi" w:hAnsiTheme="majorHAnsi"/>
          <w:i/>
          <w:sz w:val="24"/>
          <w:szCs w:val="24"/>
        </w:rPr>
        <w:t xml:space="preserve"> tillämpning av artikel 50 FEU.</w:t>
      </w:r>
    </w:p>
    <w:p w:rsidR="006F3EF6" w:rsidRPr="005D63E4" w:rsidRDefault="00822070" w:rsidP="00C90E26">
      <w:pPr>
        <w:jc w:val="both"/>
        <w:rPr>
          <w:rFonts w:asciiTheme="majorHAnsi" w:hAnsiTheme="majorHAnsi"/>
          <w:i/>
          <w:sz w:val="24"/>
          <w:szCs w:val="24"/>
        </w:rPr>
      </w:pPr>
      <w:r w:rsidRPr="005D63E4">
        <w:rPr>
          <w:rFonts w:asciiTheme="majorHAnsi" w:hAnsiTheme="majorHAnsi"/>
          <w:i/>
          <w:sz w:val="24"/>
          <w:szCs w:val="24"/>
        </w:rPr>
        <w:t xml:space="preserve">Kort därefter </w:t>
      </w:r>
      <w:r w:rsidR="006F3EF6" w:rsidRPr="005D63E4">
        <w:rPr>
          <w:rFonts w:asciiTheme="majorHAnsi" w:hAnsiTheme="majorHAnsi"/>
          <w:i/>
          <w:sz w:val="24"/>
          <w:szCs w:val="24"/>
        </w:rPr>
        <w:t xml:space="preserve">mottog Court </w:t>
      </w:r>
      <w:proofErr w:type="spellStart"/>
      <w:r w:rsidR="006F3EF6" w:rsidRPr="005D63E4">
        <w:rPr>
          <w:rFonts w:asciiTheme="majorHAnsi" w:hAnsiTheme="majorHAnsi"/>
          <w:i/>
          <w:sz w:val="24"/>
          <w:szCs w:val="24"/>
        </w:rPr>
        <w:t>of</w:t>
      </w:r>
      <w:proofErr w:type="spellEnd"/>
      <w:r w:rsidR="006F3EF6" w:rsidRPr="005D63E4">
        <w:rPr>
          <w:rFonts w:asciiTheme="majorHAnsi" w:hAnsiTheme="majorHAnsi"/>
          <w:i/>
          <w:sz w:val="24"/>
          <w:szCs w:val="24"/>
        </w:rPr>
        <w:t xml:space="preserve"> Session i Sk</w:t>
      </w:r>
      <w:r w:rsidR="003004BF" w:rsidRPr="005D63E4">
        <w:rPr>
          <w:rFonts w:asciiTheme="majorHAnsi" w:hAnsiTheme="majorHAnsi"/>
          <w:i/>
          <w:sz w:val="24"/>
          <w:szCs w:val="24"/>
        </w:rPr>
        <w:t>o</w:t>
      </w:r>
      <w:r w:rsidR="006F3EF6" w:rsidRPr="005D63E4">
        <w:rPr>
          <w:rFonts w:asciiTheme="majorHAnsi" w:hAnsiTheme="majorHAnsi"/>
          <w:i/>
          <w:sz w:val="24"/>
          <w:szCs w:val="24"/>
        </w:rPr>
        <w:t>ttland (överdomstol i tvistemål</w:t>
      </w:r>
      <w:r w:rsidRPr="005D63E4">
        <w:rPr>
          <w:rFonts w:asciiTheme="majorHAnsi" w:hAnsiTheme="majorHAnsi"/>
          <w:i/>
          <w:sz w:val="24"/>
          <w:szCs w:val="24"/>
        </w:rPr>
        <w:t>)</w:t>
      </w:r>
      <w:r w:rsidR="003004BF" w:rsidRPr="005D63E4">
        <w:rPr>
          <w:rFonts w:asciiTheme="majorHAnsi" w:hAnsiTheme="majorHAnsi"/>
          <w:i/>
          <w:sz w:val="24"/>
          <w:szCs w:val="24"/>
        </w:rPr>
        <w:t xml:space="preserve"> en ansökan om domstolsprövning </w:t>
      </w:r>
      <w:r w:rsidRPr="005D63E4">
        <w:rPr>
          <w:rFonts w:asciiTheme="majorHAnsi" w:hAnsiTheme="majorHAnsi"/>
          <w:i/>
          <w:sz w:val="24"/>
          <w:szCs w:val="24"/>
        </w:rPr>
        <w:t xml:space="preserve">från </w:t>
      </w:r>
      <w:r w:rsidR="006F3EF6" w:rsidRPr="005D63E4">
        <w:rPr>
          <w:rFonts w:asciiTheme="majorHAnsi" w:hAnsiTheme="majorHAnsi"/>
          <w:i/>
          <w:sz w:val="24"/>
          <w:szCs w:val="24"/>
        </w:rPr>
        <w:t>några ledamöte</w:t>
      </w:r>
      <w:r w:rsidRPr="005D63E4">
        <w:rPr>
          <w:rFonts w:asciiTheme="majorHAnsi" w:hAnsiTheme="majorHAnsi"/>
          <w:i/>
          <w:sz w:val="24"/>
          <w:szCs w:val="24"/>
        </w:rPr>
        <w:t>r av</w:t>
      </w:r>
      <w:r w:rsidR="006F3EF6" w:rsidRPr="005D63E4">
        <w:rPr>
          <w:rFonts w:asciiTheme="majorHAnsi" w:hAnsiTheme="majorHAnsi"/>
          <w:i/>
          <w:sz w:val="24"/>
          <w:szCs w:val="24"/>
        </w:rPr>
        <w:t xml:space="preserve"> det skotska parlamentet, bland annat Andy Wightman, från miljöpartiet, samt några </w:t>
      </w:r>
      <w:r w:rsidRPr="005D63E4">
        <w:rPr>
          <w:rFonts w:asciiTheme="majorHAnsi" w:hAnsiTheme="majorHAnsi"/>
          <w:i/>
          <w:sz w:val="24"/>
          <w:szCs w:val="24"/>
        </w:rPr>
        <w:t>ledamöter av</w:t>
      </w:r>
      <w:r w:rsidR="006F3EF6" w:rsidRPr="005D63E4">
        <w:rPr>
          <w:rFonts w:asciiTheme="majorHAnsi" w:hAnsiTheme="majorHAnsi"/>
          <w:i/>
          <w:sz w:val="24"/>
          <w:szCs w:val="24"/>
        </w:rPr>
        <w:t xml:space="preserve"> det brittiska parlamentet och </w:t>
      </w:r>
      <w:r w:rsidRPr="005D63E4">
        <w:rPr>
          <w:rFonts w:asciiTheme="majorHAnsi" w:hAnsiTheme="majorHAnsi"/>
          <w:i/>
          <w:sz w:val="24"/>
          <w:szCs w:val="24"/>
        </w:rPr>
        <w:t>av</w:t>
      </w:r>
      <w:r w:rsidR="006F3EF6" w:rsidRPr="005D63E4">
        <w:rPr>
          <w:rFonts w:asciiTheme="majorHAnsi" w:hAnsiTheme="majorHAnsi"/>
          <w:i/>
          <w:sz w:val="24"/>
          <w:szCs w:val="24"/>
        </w:rPr>
        <w:t xml:space="preserve"> Europaparlamentet.</w:t>
      </w:r>
    </w:p>
    <w:p w:rsidR="0043538A" w:rsidRPr="005D63E4" w:rsidRDefault="006F3EF6" w:rsidP="00C90E26">
      <w:pPr>
        <w:jc w:val="both"/>
        <w:rPr>
          <w:rFonts w:asciiTheme="majorHAnsi" w:hAnsiTheme="majorHAnsi"/>
          <w:i/>
          <w:sz w:val="24"/>
          <w:szCs w:val="24"/>
        </w:rPr>
      </w:pPr>
      <w:r w:rsidRPr="005D63E4">
        <w:rPr>
          <w:rFonts w:asciiTheme="majorHAnsi" w:hAnsiTheme="majorHAnsi"/>
          <w:i/>
          <w:sz w:val="24"/>
          <w:szCs w:val="24"/>
        </w:rPr>
        <w:t>De önskade få klarhet i om</w:t>
      </w:r>
      <w:r w:rsidR="00822070" w:rsidRPr="005D63E4">
        <w:rPr>
          <w:rFonts w:asciiTheme="majorHAnsi" w:hAnsiTheme="majorHAnsi"/>
          <w:i/>
          <w:sz w:val="24"/>
          <w:szCs w:val="24"/>
        </w:rPr>
        <w:t xml:space="preserve"> det var möjligt att </w:t>
      </w:r>
      <w:r w:rsidR="003004BF" w:rsidRPr="005D63E4">
        <w:rPr>
          <w:rFonts w:asciiTheme="majorHAnsi" w:hAnsiTheme="majorHAnsi"/>
          <w:i/>
          <w:sz w:val="24"/>
          <w:szCs w:val="24"/>
        </w:rPr>
        <w:t>ensidigt återkalla</w:t>
      </w:r>
      <w:r w:rsidRPr="005D63E4">
        <w:rPr>
          <w:rFonts w:asciiTheme="majorHAnsi" w:hAnsiTheme="majorHAnsi"/>
          <w:i/>
          <w:sz w:val="24"/>
          <w:szCs w:val="24"/>
        </w:rPr>
        <w:t xml:space="preserve"> en anmälan enligt i artikel 50 FEU</w:t>
      </w:r>
      <w:r w:rsidR="003004BF" w:rsidRPr="005D63E4">
        <w:rPr>
          <w:rFonts w:asciiTheme="majorHAnsi" w:hAnsiTheme="majorHAnsi"/>
          <w:i/>
          <w:sz w:val="24"/>
          <w:szCs w:val="24"/>
        </w:rPr>
        <w:t xml:space="preserve">. </w:t>
      </w:r>
      <w:r w:rsidR="003B4481" w:rsidRPr="005D63E4">
        <w:rPr>
          <w:rFonts w:asciiTheme="majorHAnsi" w:hAnsiTheme="majorHAnsi"/>
          <w:i/>
          <w:sz w:val="24"/>
          <w:szCs w:val="24"/>
        </w:rPr>
        <w:t>D</w:t>
      </w:r>
      <w:r w:rsidR="005B6BEA" w:rsidRPr="005D63E4">
        <w:rPr>
          <w:rFonts w:asciiTheme="majorHAnsi" w:hAnsiTheme="majorHAnsi"/>
          <w:i/>
          <w:sz w:val="24"/>
          <w:szCs w:val="24"/>
        </w:rPr>
        <w:t>en skotska domstolen</w:t>
      </w:r>
      <w:r w:rsidR="003004BF" w:rsidRPr="005D63E4">
        <w:rPr>
          <w:rFonts w:asciiTheme="majorHAnsi" w:hAnsiTheme="majorHAnsi"/>
          <w:i/>
          <w:sz w:val="24"/>
          <w:szCs w:val="24"/>
        </w:rPr>
        <w:t xml:space="preserve"> </w:t>
      </w:r>
      <w:r w:rsidR="003B4481" w:rsidRPr="005D63E4">
        <w:rPr>
          <w:rFonts w:asciiTheme="majorHAnsi" w:hAnsiTheme="majorHAnsi"/>
          <w:i/>
          <w:sz w:val="24"/>
          <w:szCs w:val="24"/>
        </w:rPr>
        <w:t>begärde ett förhandsavgörande från EU-domstolen</w:t>
      </w:r>
      <w:r w:rsidR="00822070" w:rsidRPr="005D63E4">
        <w:rPr>
          <w:rFonts w:asciiTheme="majorHAnsi" w:hAnsiTheme="majorHAnsi"/>
          <w:i/>
          <w:sz w:val="24"/>
          <w:szCs w:val="24"/>
        </w:rPr>
        <w:t>.</w:t>
      </w:r>
      <w:r w:rsidR="005D63E4" w:rsidRPr="005D63E4">
        <w:rPr>
          <w:rFonts w:asciiTheme="majorHAnsi" w:hAnsiTheme="majorHAnsi"/>
          <w:i/>
          <w:sz w:val="24"/>
          <w:szCs w:val="24"/>
        </w:rPr>
        <w:t xml:space="preserve"> EU-domstolen kom fram till att </w:t>
      </w:r>
      <w:r w:rsidR="005D63E4" w:rsidRPr="005D63E4">
        <w:rPr>
          <w:rFonts w:asciiTheme="majorHAnsi" w:hAnsiTheme="majorHAnsi"/>
          <w:bCs/>
          <w:i/>
          <w:sz w:val="24"/>
          <w:szCs w:val="24"/>
        </w:rPr>
        <w:t>a</w:t>
      </w:r>
      <w:r w:rsidR="0043538A" w:rsidRPr="005D63E4">
        <w:rPr>
          <w:rFonts w:asciiTheme="majorHAnsi" w:hAnsiTheme="majorHAnsi"/>
          <w:bCs/>
          <w:i/>
          <w:sz w:val="24"/>
          <w:szCs w:val="24"/>
        </w:rPr>
        <w:t xml:space="preserve">rtikel 50 FEU ska tolkas så att en medlemsstat har rätt att </w:t>
      </w:r>
      <w:r w:rsidR="0043538A" w:rsidRPr="005D63E4">
        <w:rPr>
          <w:rFonts w:asciiTheme="majorHAnsi" w:hAnsiTheme="majorHAnsi"/>
          <w:bCs/>
          <w:i/>
          <w:sz w:val="24"/>
          <w:szCs w:val="24"/>
        </w:rPr>
        <w:lastRenderedPageBreak/>
        <w:t>ensidigt återkalla sin anmälan om det sker på ett entydigt och ovillkorligt sätt (så länge utträdesavtalet mellan medlemsstaten och unionen inte har trätt i kraft)</w:t>
      </w:r>
    </w:p>
    <w:p w:rsidR="00822070" w:rsidRPr="005D63E4" w:rsidRDefault="00822070" w:rsidP="004E133C">
      <w:pPr>
        <w:rPr>
          <w:rFonts w:asciiTheme="majorHAnsi" w:hAnsiTheme="majorHAnsi"/>
          <w:i/>
          <w:sz w:val="24"/>
          <w:szCs w:val="24"/>
        </w:rPr>
      </w:pPr>
    </w:p>
    <w:p w:rsidR="00822070" w:rsidRPr="007B1AD8" w:rsidRDefault="00043C50" w:rsidP="004E133C">
      <w:pPr>
        <w:rPr>
          <w:rFonts w:asciiTheme="majorHAnsi" w:hAnsiTheme="majorHAnsi"/>
          <w:b/>
          <w:sz w:val="24"/>
          <w:szCs w:val="24"/>
        </w:rPr>
      </w:pPr>
      <w:r w:rsidRPr="007B1AD8">
        <w:rPr>
          <w:rFonts w:asciiTheme="majorHAnsi" w:hAnsiTheme="majorHAnsi"/>
          <w:b/>
          <w:sz w:val="24"/>
          <w:szCs w:val="24"/>
        </w:rPr>
        <w:t>CITAT</w:t>
      </w:r>
      <w:r w:rsidR="00BA446D" w:rsidRPr="007B1AD8">
        <w:rPr>
          <w:rFonts w:asciiTheme="majorHAnsi" w:hAnsiTheme="majorHAnsi"/>
          <w:b/>
          <w:sz w:val="24"/>
          <w:szCs w:val="24"/>
        </w:rPr>
        <w:t xml:space="preserve"> 1</w:t>
      </w:r>
      <w:r w:rsidRPr="007B1AD8">
        <w:rPr>
          <w:rFonts w:asciiTheme="majorHAnsi" w:hAnsiTheme="majorHAnsi"/>
          <w:b/>
          <w:sz w:val="24"/>
          <w:szCs w:val="24"/>
        </w:rPr>
        <w:t xml:space="preserve">: EU-rättens konstitutionella grund </w:t>
      </w:r>
    </w:p>
    <w:p w:rsidR="005D63E4" w:rsidRDefault="005D63E4" w:rsidP="004E133C">
      <w:pPr>
        <w:rPr>
          <w:rFonts w:asciiTheme="majorHAnsi" w:hAnsiTheme="majorHAnsi"/>
          <w:sz w:val="24"/>
          <w:szCs w:val="24"/>
        </w:rPr>
      </w:pPr>
      <w:r w:rsidRPr="005D63E4">
        <w:rPr>
          <w:rFonts w:asciiTheme="majorHAnsi" w:hAnsiTheme="majorHAnsi"/>
          <w:sz w:val="24"/>
          <w:szCs w:val="24"/>
        </w:rPr>
        <w:drawing>
          <wp:inline distT="0" distB="0" distL="0" distR="0" wp14:anchorId="56B5F147" wp14:editId="6354F912">
            <wp:extent cx="6184900" cy="1132298"/>
            <wp:effectExtent l="0" t="0" r="635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3090" cy="113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E4" w:rsidRDefault="005D63E4" w:rsidP="004E133C">
      <w:pPr>
        <w:rPr>
          <w:rFonts w:asciiTheme="majorHAnsi" w:hAnsiTheme="majorHAnsi"/>
          <w:sz w:val="24"/>
          <w:szCs w:val="24"/>
        </w:rPr>
      </w:pPr>
    </w:p>
    <w:p w:rsidR="005D63E4" w:rsidRPr="005D63E4" w:rsidRDefault="00043C50" w:rsidP="004E133C">
      <w:pPr>
        <w:rPr>
          <w:rFonts w:asciiTheme="majorHAnsi" w:hAnsiTheme="majorHAnsi"/>
          <w:b/>
          <w:sz w:val="24"/>
          <w:szCs w:val="24"/>
        </w:rPr>
      </w:pPr>
      <w:r w:rsidRPr="007B1AD8">
        <w:rPr>
          <w:rFonts w:asciiTheme="majorHAnsi" w:hAnsiTheme="majorHAnsi"/>
          <w:b/>
          <w:sz w:val="24"/>
          <w:szCs w:val="24"/>
        </w:rPr>
        <w:t>CITAT</w:t>
      </w:r>
      <w:r w:rsidRPr="007B1AD8">
        <w:rPr>
          <w:rFonts w:asciiTheme="majorHAnsi" w:hAnsiTheme="majorHAnsi"/>
          <w:b/>
          <w:sz w:val="24"/>
          <w:szCs w:val="24"/>
        </w:rPr>
        <w:t xml:space="preserve"> 2</w:t>
      </w:r>
      <w:r w:rsidRPr="007B1AD8">
        <w:rPr>
          <w:rFonts w:asciiTheme="majorHAnsi" w:hAnsiTheme="majorHAnsi"/>
          <w:b/>
          <w:sz w:val="24"/>
          <w:szCs w:val="24"/>
        </w:rPr>
        <w:t>: EU</w:t>
      </w:r>
      <w:r w:rsidRPr="007B1AD8">
        <w:rPr>
          <w:rFonts w:asciiTheme="majorHAnsi" w:hAnsiTheme="majorHAnsi"/>
          <w:b/>
          <w:sz w:val="24"/>
          <w:szCs w:val="24"/>
        </w:rPr>
        <w:t>-rättens genomslag i medlemsstaterna</w:t>
      </w:r>
    </w:p>
    <w:p w:rsidR="005D63E4" w:rsidRDefault="005D63E4" w:rsidP="004E133C">
      <w:pPr>
        <w:rPr>
          <w:rFonts w:asciiTheme="majorHAnsi" w:hAnsiTheme="majorHAnsi"/>
          <w:sz w:val="24"/>
          <w:szCs w:val="24"/>
        </w:rPr>
      </w:pPr>
      <w:r w:rsidRPr="005D63E4">
        <w:rPr>
          <w:rFonts w:asciiTheme="majorHAnsi" w:hAnsiTheme="majorHAnsi"/>
          <w:sz w:val="24"/>
          <w:szCs w:val="24"/>
        </w:rPr>
        <w:drawing>
          <wp:inline distT="0" distB="0" distL="0" distR="0" wp14:anchorId="4EBD8B56" wp14:editId="48D77493">
            <wp:extent cx="6184900" cy="1554444"/>
            <wp:effectExtent l="0" t="0" r="6350" b="825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4121" cy="155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6D" w:rsidRDefault="00BA446D" w:rsidP="003004BF">
      <w:pPr>
        <w:rPr>
          <w:rFonts w:asciiTheme="majorHAnsi" w:hAnsiTheme="majorHAnsi"/>
          <w:sz w:val="24"/>
          <w:szCs w:val="24"/>
        </w:rPr>
      </w:pPr>
    </w:p>
    <w:p w:rsidR="00BA446D" w:rsidRPr="007B1AD8" w:rsidRDefault="00043C50" w:rsidP="003004BF">
      <w:pPr>
        <w:rPr>
          <w:rFonts w:asciiTheme="majorHAnsi" w:hAnsiTheme="majorHAnsi"/>
          <w:b/>
          <w:sz w:val="24"/>
          <w:szCs w:val="24"/>
        </w:rPr>
      </w:pPr>
      <w:r w:rsidRPr="007B1AD8">
        <w:rPr>
          <w:rFonts w:asciiTheme="majorHAnsi" w:hAnsiTheme="majorHAnsi"/>
          <w:b/>
          <w:sz w:val="24"/>
          <w:szCs w:val="24"/>
        </w:rPr>
        <w:t>CITAT 3</w:t>
      </w:r>
      <w:r w:rsidR="00BA446D" w:rsidRPr="007B1AD8">
        <w:rPr>
          <w:rFonts w:asciiTheme="majorHAnsi" w:hAnsiTheme="majorHAnsi"/>
          <w:b/>
          <w:sz w:val="24"/>
          <w:szCs w:val="24"/>
        </w:rPr>
        <w:t xml:space="preserve">: </w:t>
      </w:r>
      <w:r w:rsidRPr="007B1AD8">
        <w:rPr>
          <w:rFonts w:asciiTheme="majorHAnsi" w:hAnsiTheme="majorHAnsi"/>
          <w:b/>
          <w:sz w:val="24"/>
          <w:szCs w:val="24"/>
        </w:rPr>
        <w:t xml:space="preserve">EU-domstolens </w:t>
      </w:r>
      <w:r w:rsidR="00BA446D" w:rsidRPr="007B1AD8">
        <w:rPr>
          <w:rFonts w:asciiTheme="majorHAnsi" w:hAnsiTheme="majorHAnsi"/>
          <w:b/>
          <w:sz w:val="24"/>
          <w:szCs w:val="24"/>
        </w:rPr>
        <w:t>tolkningsmetod</w:t>
      </w:r>
    </w:p>
    <w:p w:rsidR="005D63E4" w:rsidRDefault="005D63E4" w:rsidP="003004BF">
      <w:pPr>
        <w:rPr>
          <w:rFonts w:asciiTheme="majorHAnsi" w:hAnsiTheme="majorHAnsi"/>
          <w:sz w:val="24"/>
          <w:szCs w:val="24"/>
        </w:rPr>
      </w:pPr>
      <w:r w:rsidRPr="005D63E4">
        <w:rPr>
          <w:rFonts w:asciiTheme="majorHAnsi" w:hAnsiTheme="majorHAnsi"/>
          <w:sz w:val="24"/>
          <w:szCs w:val="24"/>
        </w:rPr>
        <w:drawing>
          <wp:inline distT="0" distB="0" distL="0" distR="0" wp14:anchorId="08BE944F" wp14:editId="55D3C0D4">
            <wp:extent cx="6184900" cy="1353893"/>
            <wp:effectExtent l="0" t="0" r="635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3289" cy="13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1A2" w:rsidRDefault="004E21A2">
      <w:pPr>
        <w:rPr>
          <w:rFonts w:asciiTheme="majorHAnsi" w:hAnsiTheme="majorHAnsi"/>
          <w:sz w:val="24"/>
          <w:szCs w:val="24"/>
        </w:rPr>
      </w:pPr>
      <w:bookmarkStart w:id="1" w:name="point37"/>
      <w:r w:rsidRPr="004E21A2">
        <w:rPr>
          <w:rFonts w:asciiTheme="majorHAnsi" w:hAnsiTheme="majorHAnsi"/>
          <w:sz w:val="24"/>
          <w:szCs w:val="24"/>
        </w:rPr>
        <w:lastRenderedPageBreak/>
        <w:drawing>
          <wp:inline distT="0" distB="0" distL="0" distR="0" wp14:anchorId="25753A94" wp14:editId="1D54FB30">
            <wp:extent cx="5760720" cy="421672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690" w:rsidRPr="005D63E4" w:rsidRDefault="00C7171E" w:rsidP="005D63E4">
      <w:pPr>
        <w:jc w:val="both"/>
        <w:rPr>
          <w:rFonts w:asciiTheme="majorHAnsi" w:hAnsiTheme="majorHAnsi"/>
          <w:i/>
          <w:sz w:val="24"/>
          <w:szCs w:val="24"/>
        </w:rPr>
      </w:pPr>
      <w:r w:rsidRPr="005D63E4">
        <w:rPr>
          <w:rFonts w:asciiTheme="majorHAnsi" w:hAnsiTheme="majorHAnsi"/>
          <w:i/>
          <w:sz w:val="24"/>
          <w:szCs w:val="24"/>
        </w:rPr>
        <w:t xml:space="preserve">Begäran om förhandsavgörande </w:t>
      </w:r>
      <w:r w:rsidR="005B6BEA" w:rsidRPr="005D63E4">
        <w:rPr>
          <w:rFonts w:asciiTheme="majorHAnsi" w:hAnsiTheme="majorHAnsi"/>
          <w:i/>
          <w:sz w:val="24"/>
          <w:szCs w:val="24"/>
        </w:rPr>
        <w:t xml:space="preserve">från en förvaltningsdomstiol i Österrike. Den har </w:t>
      </w:r>
      <w:r w:rsidR="00043C50" w:rsidRPr="005D63E4">
        <w:rPr>
          <w:rFonts w:asciiTheme="majorHAnsi" w:hAnsiTheme="majorHAnsi"/>
          <w:i/>
          <w:sz w:val="24"/>
          <w:szCs w:val="24"/>
        </w:rPr>
        <w:t>fra</w:t>
      </w:r>
      <w:r w:rsidR="005B6BEA" w:rsidRPr="005D63E4">
        <w:rPr>
          <w:rFonts w:asciiTheme="majorHAnsi" w:hAnsiTheme="majorHAnsi"/>
          <w:i/>
          <w:sz w:val="24"/>
          <w:szCs w:val="24"/>
        </w:rPr>
        <w:t>mställts i ett mål där</w:t>
      </w:r>
      <w:r w:rsidR="00043C50" w:rsidRPr="005D63E4">
        <w:rPr>
          <w:rFonts w:asciiTheme="majorHAnsi" w:hAnsiTheme="majorHAnsi"/>
          <w:i/>
          <w:sz w:val="24"/>
          <w:szCs w:val="24"/>
        </w:rPr>
        <w:t xml:space="preserve"> en privatperson</w:t>
      </w:r>
      <w:r w:rsidRPr="005D63E4">
        <w:rPr>
          <w:rFonts w:asciiTheme="majorHAnsi" w:hAnsiTheme="majorHAnsi"/>
          <w:i/>
          <w:sz w:val="24"/>
          <w:szCs w:val="24"/>
        </w:rPr>
        <w:t xml:space="preserve"> </w:t>
      </w:r>
      <w:r w:rsidR="00043C50" w:rsidRPr="005D63E4">
        <w:rPr>
          <w:rFonts w:asciiTheme="majorHAnsi" w:hAnsiTheme="majorHAnsi"/>
          <w:i/>
          <w:sz w:val="24"/>
          <w:szCs w:val="24"/>
        </w:rPr>
        <w:t xml:space="preserve">(NE) </w:t>
      </w:r>
      <w:r w:rsidR="005B6BEA" w:rsidRPr="005D63E4">
        <w:rPr>
          <w:rFonts w:asciiTheme="majorHAnsi" w:hAnsiTheme="majorHAnsi"/>
          <w:i/>
          <w:sz w:val="24"/>
          <w:szCs w:val="24"/>
        </w:rPr>
        <w:t>överklagat ett beslut om</w:t>
      </w:r>
      <w:r w:rsidRPr="005D63E4">
        <w:rPr>
          <w:rFonts w:asciiTheme="majorHAnsi" w:hAnsiTheme="majorHAnsi"/>
          <w:i/>
          <w:sz w:val="24"/>
          <w:szCs w:val="24"/>
        </w:rPr>
        <w:t xml:space="preserve"> </w:t>
      </w:r>
      <w:r w:rsidR="005B6BEA" w:rsidRPr="005D63E4">
        <w:rPr>
          <w:rFonts w:asciiTheme="majorHAnsi" w:hAnsiTheme="majorHAnsi"/>
          <w:i/>
          <w:sz w:val="24"/>
          <w:szCs w:val="24"/>
        </w:rPr>
        <w:t xml:space="preserve">böter för </w:t>
      </w:r>
      <w:r w:rsidR="00945690" w:rsidRPr="005D63E4">
        <w:rPr>
          <w:rFonts w:asciiTheme="majorHAnsi" w:hAnsiTheme="majorHAnsi"/>
          <w:i/>
          <w:sz w:val="24"/>
          <w:szCs w:val="24"/>
        </w:rPr>
        <w:t>överträdelser av arbetsrättslig lagstiftning i Österr</w:t>
      </w:r>
      <w:r w:rsidR="005B6BEA" w:rsidRPr="005D63E4">
        <w:rPr>
          <w:rFonts w:asciiTheme="majorHAnsi" w:hAnsiTheme="majorHAnsi"/>
          <w:i/>
          <w:sz w:val="24"/>
          <w:szCs w:val="24"/>
        </w:rPr>
        <w:t>ike. Denna lagstiftning hade inte blivit</w:t>
      </w:r>
      <w:r w:rsidR="00945690" w:rsidRPr="005D63E4">
        <w:rPr>
          <w:rFonts w:asciiTheme="majorHAnsi" w:hAnsiTheme="majorHAnsi"/>
          <w:i/>
          <w:sz w:val="24"/>
          <w:szCs w:val="24"/>
        </w:rPr>
        <w:t xml:space="preserve"> anpassad till </w:t>
      </w:r>
      <w:r w:rsidR="00945690" w:rsidRPr="005D63E4">
        <w:rPr>
          <w:rFonts w:asciiTheme="majorHAnsi" w:hAnsiTheme="majorHAnsi"/>
          <w:i/>
          <w:sz w:val="24"/>
          <w:szCs w:val="24"/>
        </w:rPr>
        <w:t xml:space="preserve">ett direktiv från EU. Målet </w:t>
      </w:r>
      <w:r w:rsidR="00C90E26">
        <w:rPr>
          <w:rFonts w:asciiTheme="majorHAnsi" w:hAnsiTheme="majorHAnsi"/>
          <w:i/>
          <w:sz w:val="24"/>
          <w:szCs w:val="24"/>
        </w:rPr>
        <w:t>rör</w:t>
      </w:r>
      <w:r w:rsidR="00945690" w:rsidRPr="005D63E4">
        <w:rPr>
          <w:rFonts w:asciiTheme="majorHAnsi" w:hAnsiTheme="majorHAnsi"/>
          <w:i/>
          <w:sz w:val="24"/>
          <w:szCs w:val="24"/>
        </w:rPr>
        <w:t xml:space="preserve"> tolkningen av </w:t>
      </w:r>
      <w:r w:rsidR="00945690" w:rsidRPr="005D63E4">
        <w:rPr>
          <w:rFonts w:asciiTheme="majorHAnsi" w:hAnsiTheme="majorHAnsi"/>
          <w:i/>
          <w:sz w:val="24"/>
          <w:szCs w:val="24"/>
        </w:rPr>
        <w:t>en artikel i detta</w:t>
      </w:r>
      <w:r w:rsidR="00945690" w:rsidRPr="005D63E4">
        <w:rPr>
          <w:rFonts w:asciiTheme="majorHAnsi" w:hAnsiTheme="majorHAnsi"/>
          <w:i/>
          <w:sz w:val="24"/>
          <w:szCs w:val="24"/>
        </w:rPr>
        <w:t xml:space="preserve"> direktiv</w:t>
      </w:r>
      <w:r w:rsidR="00945690" w:rsidRPr="005D63E4">
        <w:rPr>
          <w:rFonts w:asciiTheme="majorHAnsi" w:hAnsiTheme="majorHAnsi"/>
          <w:i/>
          <w:sz w:val="24"/>
          <w:szCs w:val="24"/>
        </w:rPr>
        <w:t>.</w:t>
      </w:r>
    </w:p>
    <w:p w:rsidR="00945690" w:rsidRDefault="00945690">
      <w:pPr>
        <w:rPr>
          <w:rFonts w:asciiTheme="majorHAnsi" w:hAnsiTheme="majorHAnsi"/>
          <w:color w:val="0070C0"/>
          <w:sz w:val="24"/>
          <w:szCs w:val="24"/>
        </w:rPr>
      </w:pPr>
    </w:p>
    <w:p w:rsidR="00945690" w:rsidRPr="007B1AD8" w:rsidRDefault="00945690">
      <w:pPr>
        <w:rPr>
          <w:rFonts w:asciiTheme="majorHAnsi" w:hAnsiTheme="majorHAnsi"/>
          <w:b/>
          <w:sz w:val="24"/>
          <w:szCs w:val="24"/>
        </w:rPr>
      </w:pPr>
      <w:r w:rsidRPr="007B1AD8">
        <w:rPr>
          <w:rFonts w:asciiTheme="majorHAnsi" w:hAnsiTheme="majorHAnsi"/>
          <w:b/>
          <w:sz w:val="24"/>
          <w:szCs w:val="24"/>
        </w:rPr>
        <w:t>CITAT 1:</w:t>
      </w:r>
      <w:r w:rsidRPr="007B1AD8">
        <w:rPr>
          <w:rFonts w:asciiTheme="majorHAnsi" w:hAnsiTheme="majorHAnsi"/>
          <w:b/>
          <w:sz w:val="24"/>
          <w:szCs w:val="24"/>
        </w:rPr>
        <w:t xml:space="preserve"> Kravet på direkt effekt</w:t>
      </w:r>
    </w:p>
    <w:p w:rsidR="007B1AD8" w:rsidRDefault="00CF4CCC">
      <w:pPr>
        <w:rPr>
          <w:rFonts w:asciiTheme="majorHAnsi" w:hAnsiTheme="majorHAnsi"/>
          <w:sz w:val="24"/>
          <w:szCs w:val="24"/>
        </w:rPr>
      </w:pPr>
      <w:bookmarkStart w:id="2" w:name="point17"/>
      <w:r w:rsidRPr="00CF4CCC">
        <w:rPr>
          <w:rFonts w:asciiTheme="majorHAnsi" w:hAnsiTheme="majorHAnsi"/>
          <w:sz w:val="24"/>
          <w:szCs w:val="24"/>
        </w:rPr>
        <w:drawing>
          <wp:inline distT="0" distB="0" distL="0" distR="0" wp14:anchorId="079A3694" wp14:editId="422C7C9E">
            <wp:extent cx="6290888" cy="1130300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0888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C90E26" w:rsidRDefault="00C90E26">
      <w:pPr>
        <w:rPr>
          <w:rFonts w:asciiTheme="majorHAnsi" w:hAnsiTheme="majorHAnsi"/>
          <w:b/>
          <w:sz w:val="24"/>
          <w:szCs w:val="24"/>
        </w:rPr>
      </w:pPr>
    </w:p>
    <w:p w:rsidR="007B1AD8" w:rsidRPr="00CF4CCC" w:rsidRDefault="00945690">
      <w:pPr>
        <w:rPr>
          <w:rFonts w:asciiTheme="majorHAnsi" w:hAnsiTheme="majorHAnsi"/>
          <w:b/>
          <w:sz w:val="24"/>
          <w:szCs w:val="24"/>
        </w:rPr>
      </w:pPr>
      <w:r w:rsidRPr="007B1AD8">
        <w:rPr>
          <w:rFonts w:asciiTheme="majorHAnsi" w:hAnsiTheme="majorHAnsi"/>
          <w:b/>
          <w:sz w:val="24"/>
          <w:szCs w:val="24"/>
        </w:rPr>
        <w:t>CITAT</w:t>
      </w:r>
      <w:r w:rsidRPr="007B1AD8">
        <w:rPr>
          <w:rFonts w:asciiTheme="majorHAnsi" w:hAnsiTheme="majorHAnsi"/>
          <w:b/>
          <w:sz w:val="24"/>
          <w:szCs w:val="24"/>
        </w:rPr>
        <w:t xml:space="preserve"> 2: Principen om företräde</w:t>
      </w:r>
    </w:p>
    <w:p w:rsidR="007B1AD8" w:rsidRDefault="00CF4CCC">
      <w:pPr>
        <w:rPr>
          <w:rFonts w:asciiTheme="majorHAnsi" w:hAnsiTheme="majorHAnsi"/>
          <w:sz w:val="24"/>
          <w:szCs w:val="24"/>
        </w:rPr>
      </w:pPr>
      <w:r w:rsidRPr="00CF4CCC">
        <w:rPr>
          <w:rFonts w:asciiTheme="majorHAnsi" w:hAnsiTheme="majorHAnsi"/>
          <w:sz w:val="24"/>
          <w:szCs w:val="24"/>
        </w:rPr>
        <w:lastRenderedPageBreak/>
        <w:drawing>
          <wp:inline distT="0" distB="0" distL="0" distR="0" wp14:anchorId="0891A14F" wp14:editId="55E60394">
            <wp:extent cx="6146800" cy="1826527"/>
            <wp:effectExtent l="0" t="0" r="6350" b="254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1519" cy="182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AD8" w:rsidRDefault="007B1AD8">
      <w:pPr>
        <w:rPr>
          <w:rFonts w:asciiTheme="majorHAnsi" w:hAnsiTheme="majorHAnsi"/>
          <w:sz w:val="24"/>
          <w:szCs w:val="24"/>
        </w:rPr>
      </w:pPr>
    </w:p>
    <w:p w:rsidR="007B1AD8" w:rsidRDefault="007B1AD8">
      <w:pPr>
        <w:rPr>
          <w:rFonts w:asciiTheme="majorHAnsi" w:hAnsiTheme="majorHAnsi"/>
          <w:sz w:val="24"/>
          <w:szCs w:val="24"/>
        </w:rPr>
      </w:pPr>
    </w:p>
    <w:bookmarkEnd w:id="1"/>
    <w:p w:rsidR="004E21A2" w:rsidRDefault="004E21A2">
      <w:pPr>
        <w:rPr>
          <w:rFonts w:asciiTheme="majorHAnsi" w:hAnsiTheme="majorHAnsi"/>
          <w:sz w:val="24"/>
          <w:szCs w:val="24"/>
        </w:rPr>
      </w:pPr>
    </w:p>
    <w:p w:rsidR="004E21A2" w:rsidRDefault="004E21A2">
      <w:pPr>
        <w:rPr>
          <w:rFonts w:asciiTheme="majorHAnsi" w:hAnsiTheme="majorHAnsi"/>
          <w:sz w:val="24"/>
          <w:szCs w:val="24"/>
        </w:rPr>
      </w:pPr>
    </w:p>
    <w:p w:rsidR="004E21A2" w:rsidRPr="00AA734D" w:rsidRDefault="004E21A2">
      <w:pPr>
        <w:rPr>
          <w:rFonts w:asciiTheme="majorHAnsi" w:hAnsiTheme="majorHAnsi"/>
          <w:sz w:val="24"/>
          <w:szCs w:val="24"/>
        </w:rPr>
      </w:pPr>
    </w:p>
    <w:sectPr w:rsidR="004E21A2" w:rsidRPr="00AA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D8B"/>
    <w:multiLevelType w:val="hybridMultilevel"/>
    <w:tmpl w:val="C5A4B50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D"/>
    <w:rsid w:val="000009DE"/>
    <w:rsid w:val="00001122"/>
    <w:rsid w:val="00041446"/>
    <w:rsid w:val="00043C50"/>
    <w:rsid w:val="000B2E7B"/>
    <w:rsid w:val="000E052C"/>
    <w:rsid w:val="000E43FD"/>
    <w:rsid w:val="001371BC"/>
    <w:rsid w:val="001E0D8E"/>
    <w:rsid w:val="001E5BB7"/>
    <w:rsid w:val="001F71FE"/>
    <w:rsid w:val="00254CCF"/>
    <w:rsid w:val="002778EC"/>
    <w:rsid w:val="002919FC"/>
    <w:rsid w:val="003004BF"/>
    <w:rsid w:val="003004C9"/>
    <w:rsid w:val="00303CB7"/>
    <w:rsid w:val="00370550"/>
    <w:rsid w:val="0037449C"/>
    <w:rsid w:val="003B4481"/>
    <w:rsid w:val="00400D72"/>
    <w:rsid w:val="00404845"/>
    <w:rsid w:val="0043538A"/>
    <w:rsid w:val="004554AF"/>
    <w:rsid w:val="00470BD3"/>
    <w:rsid w:val="00494C21"/>
    <w:rsid w:val="004C2825"/>
    <w:rsid w:val="004E133C"/>
    <w:rsid w:val="004E21A2"/>
    <w:rsid w:val="00513F0E"/>
    <w:rsid w:val="00530D8F"/>
    <w:rsid w:val="00546FE9"/>
    <w:rsid w:val="00574022"/>
    <w:rsid w:val="00584FC2"/>
    <w:rsid w:val="005B6BEA"/>
    <w:rsid w:val="005B78AF"/>
    <w:rsid w:val="005D63E4"/>
    <w:rsid w:val="005E3B2F"/>
    <w:rsid w:val="006348D8"/>
    <w:rsid w:val="006820AE"/>
    <w:rsid w:val="006C6105"/>
    <w:rsid w:val="006D1C95"/>
    <w:rsid w:val="006F3EF6"/>
    <w:rsid w:val="007021D0"/>
    <w:rsid w:val="007A30B5"/>
    <w:rsid w:val="007B1AD8"/>
    <w:rsid w:val="007B48F3"/>
    <w:rsid w:val="007B53AC"/>
    <w:rsid w:val="007E0A6D"/>
    <w:rsid w:val="0080787C"/>
    <w:rsid w:val="008124B2"/>
    <w:rsid w:val="00822070"/>
    <w:rsid w:val="008236A9"/>
    <w:rsid w:val="0083693E"/>
    <w:rsid w:val="00873160"/>
    <w:rsid w:val="008A0218"/>
    <w:rsid w:val="008A1B99"/>
    <w:rsid w:val="008D7A27"/>
    <w:rsid w:val="008F2099"/>
    <w:rsid w:val="00900D15"/>
    <w:rsid w:val="009362C3"/>
    <w:rsid w:val="00945690"/>
    <w:rsid w:val="00961F46"/>
    <w:rsid w:val="009C51C2"/>
    <w:rsid w:val="009E6C49"/>
    <w:rsid w:val="009F1403"/>
    <w:rsid w:val="00A04082"/>
    <w:rsid w:val="00A617AD"/>
    <w:rsid w:val="00A8012A"/>
    <w:rsid w:val="00AA734D"/>
    <w:rsid w:val="00AC3914"/>
    <w:rsid w:val="00AC4491"/>
    <w:rsid w:val="00AC65CF"/>
    <w:rsid w:val="00B119BE"/>
    <w:rsid w:val="00B502D9"/>
    <w:rsid w:val="00B5325F"/>
    <w:rsid w:val="00B63A09"/>
    <w:rsid w:val="00B669A6"/>
    <w:rsid w:val="00BA211B"/>
    <w:rsid w:val="00BA446D"/>
    <w:rsid w:val="00BB0C1A"/>
    <w:rsid w:val="00BC1A53"/>
    <w:rsid w:val="00C108BE"/>
    <w:rsid w:val="00C24490"/>
    <w:rsid w:val="00C7171E"/>
    <w:rsid w:val="00C817B1"/>
    <w:rsid w:val="00C90E26"/>
    <w:rsid w:val="00C9269D"/>
    <w:rsid w:val="00C935A7"/>
    <w:rsid w:val="00CF00BF"/>
    <w:rsid w:val="00CF4CCC"/>
    <w:rsid w:val="00D50C63"/>
    <w:rsid w:val="00D577F2"/>
    <w:rsid w:val="00D80417"/>
    <w:rsid w:val="00D84886"/>
    <w:rsid w:val="00E0711D"/>
    <w:rsid w:val="00E86E29"/>
    <w:rsid w:val="00E90050"/>
    <w:rsid w:val="00EA06D6"/>
    <w:rsid w:val="00EA109F"/>
    <w:rsid w:val="00EC193C"/>
    <w:rsid w:val="00F25EFB"/>
    <w:rsid w:val="00F57F3C"/>
    <w:rsid w:val="00F6314D"/>
    <w:rsid w:val="00F87361"/>
    <w:rsid w:val="00F93E75"/>
    <w:rsid w:val="00FA6E1F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2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207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617A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D6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2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207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617A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D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650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Fredrik</dc:creator>
  <cp:lastModifiedBy>Carl Fredrik</cp:lastModifiedBy>
  <cp:revision>106</cp:revision>
  <dcterms:created xsi:type="dcterms:W3CDTF">2023-03-13T08:45:00Z</dcterms:created>
  <dcterms:modified xsi:type="dcterms:W3CDTF">2023-03-13T16:00:00Z</dcterms:modified>
</cp:coreProperties>
</file>